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6C1F" w14:textId="77777777" w:rsidR="004860BE" w:rsidRPr="0098429A" w:rsidRDefault="004860BE" w:rsidP="004860BE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720DB1E2" w14:textId="1367226F" w:rsidR="004860BE" w:rsidRPr="0098429A" w:rsidRDefault="004860BE" w:rsidP="004860BE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BF5E21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126E1607" w14:textId="77777777" w:rsidR="00AE19E3" w:rsidRPr="00055B46" w:rsidRDefault="004860BE" w:rsidP="004860BE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8"/>
        <w:gridCol w:w="810"/>
        <w:gridCol w:w="106"/>
        <w:gridCol w:w="524"/>
        <w:gridCol w:w="180"/>
        <w:gridCol w:w="600"/>
        <w:gridCol w:w="255"/>
        <w:gridCol w:w="405"/>
        <w:gridCol w:w="236"/>
        <w:gridCol w:w="210"/>
        <w:gridCol w:w="94"/>
        <w:gridCol w:w="48"/>
        <w:gridCol w:w="188"/>
        <w:gridCol w:w="48"/>
        <w:gridCol w:w="256"/>
        <w:gridCol w:w="180"/>
        <w:gridCol w:w="236"/>
        <w:gridCol w:w="1218"/>
        <w:gridCol w:w="142"/>
        <w:gridCol w:w="879"/>
        <w:gridCol w:w="225"/>
        <w:gridCol w:w="498"/>
        <w:gridCol w:w="99"/>
        <w:gridCol w:w="2296"/>
      </w:tblGrid>
      <w:tr w:rsidR="00535617" w:rsidRPr="00055B46" w14:paraId="23648A0A" w14:textId="77777777" w:rsidTr="00055B46">
        <w:tc>
          <w:tcPr>
            <w:tcW w:w="11482" w:type="dxa"/>
            <w:gridSpan w:val="25"/>
            <w:tcBorders>
              <w:bottom w:val="single" w:sz="4" w:space="0" w:color="auto"/>
            </w:tcBorders>
            <w:shd w:val="clear" w:color="auto" w:fill="C00000"/>
          </w:tcPr>
          <w:p w14:paraId="244FC5D0" w14:textId="77777777" w:rsidR="00535617" w:rsidRPr="00055B46" w:rsidRDefault="00646A52" w:rsidP="007E5837">
            <w:pPr>
              <w:tabs>
                <w:tab w:val="left" w:pos="1861"/>
                <w:tab w:val="center" w:pos="5112"/>
              </w:tabs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Porcentaje de usuario</w:t>
            </w:r>
            <w:r w:rsidR="0046226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s </w:t>
            </w:r>
            <w:r w:rsidR="00063B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con percepción </w:t>
            </w:r>
            <w:r w:rsidR="00896A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de satisfacción </w:t>
            </w:r>
            <w:r w:rsidR="00063B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de la calidad de la atención médica </w:t>
            </w:r>
            <w:r w:rsidR="00896A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hospitalaria </w:t>
            </w:r>
            <w:r w:rsidR="00063B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recibida superior a 8</w:t>
            </w:r>
            <w:r w:rsidR="007E5837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0</w:t>
            </w:r>
            <w:r w:rsidR="006A7B7C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063B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p</w:t>
            </w:r>
            <w:r w:rsidR="00896A95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untos</w:t>
            </w:r>
            <w:r w:rsidR="004335D0" w:rsidRPr="00055B46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porcentuales</w:t>
            </w:r>
          </w:p>
        </w:tc>
      </w:tr>
      <w:tr w:rsidR="008325CB" w:rsidRPr="00055B46" w14:paraId="094F6ECA" w14:textId="77777777" w:rsidTr="00055B46">
        <w:tc>
          <w:tcPr>
            <w:tcW w:w="11482" w:type="dxa"/>
            <w:gridSpan w:val="25"/>
            <w:tcBorders>
              <w:bottom w:val="nil"/>
            </w:tcBorders>
            <w:shd w:val="clear" w:color="auto" w:fill="538135" w:themeFill="accent6" w:themeFillShade="BF"/>
          </w:tcPr>
          <w:p w14:paraId="6310746D" w14:textId="77777777" w:rsidR="008325CB" w:rsidRPr="00055B46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055B46" w14:paraId="1CFFD88C" w14:textId="77777777" w:rsidTr="00055B46">
        <w:tc>
          <w:tcPr>
            <w:tcW w:w="3369" w:type="dxa"/>
            <w:gridSpan w:val="6"/>
            <w:tcBorders>
              <w:top w:val="nil"/>
            </w:tcBorders>
          </w:tcPr>
          <w:p w14:paraId="4759F228" w14:textId="77777777" w:rsidR="006962E7" w:rsidRPr="00055B46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60ABB9E7" w14:textId="77777777" w:rsidR="006962E7" w:rsidRPr="00055B46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4860BE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3707B6CC" w14:textId="77777777" w:rsidR="006962E7" w:rsidRPr="00055B46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2893" w:type="dxa"/>
            <w:gridSpan w:val="3"/>
            <w:tcBorders>
              <w:top w:val="nil"/>
            </w:tcBorders>
          </w:tcPr>
          <w:p w14:paraId="3DFC8ED2" w14:textId="77777777" w:rsidR="006962E7" w:rsidRPr="00055B46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4860BE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055B46" w14:paraId="05B86213" w14:textId="77777777" w:rsidTr="00055B46">
        <w:tc>
          <w:tcPr>
            <w:tcW w:w="11482" w:type="dxa"/>
            <w:gridSpan w:val="25"/>
          </w:tcPr>
          <w:p w14:paraId="1E232690" w14:textId="77777777" w:rsidR="00E87793" w:rsidRPr="00055B46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458B2287" w14:textId="77777777" w:rsidR="00B30307" w:rsidRPr="00055B46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055B46" w14:paraId="51B46357" w14:textId="77777777" w:rsidTr="00055B46">
        <w:tc>
          <w:tcPr>
            <w:tcW w:w="5075" w:type="dxa"/>
            <w:gridSpan w:val="11"/>
          </w:tcPr>
          <w:p w14:paraId="0D971BE4" w14:textId="77777777" w:rsidR="007C13B1" w:rsidRPr="00055B46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407" w:type="dxa"/>
            <w:gridSpan w:val="14"/>
          </w:tcPr>
          <w:p w14:paraId="7915BB03" w14:textId="77777777" w:rsidR="007C13B1" w:rsidRPr="00055B46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055B46" w14:paraId="7FC18BCA" w14:textId="77777777" w:rsidTr="00055B46">
        <w:tc>
          <w:tcPr>
            <w:tcW w:w="11482" w:type="dxa"/>
            <w:gridSpan w:val="25"/>
          </w:tcPr>
          <w:p w14:paraId="1053E72F" w14:textId="77777777" w:rsidR="00AA05A4" w:rsidRPr="00055B46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7DD8C319" w14:textId="77777777" w:rsidR="007C13B1" w:rsidRPr="00055B46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055B46" w14:paraId="7D16A066" w14:textId="77777777" w:rsidTr="00055B46">
        <w:tc>
          <w:tcPr>
            <w:tcW w:w="11482" w:type="dxa"/>
            <w:gridSpan w:val="25"/>
          </w:tcPr>
          <w:p w14:paraId="3F1CD25F" w14:textId="77777777" w:rsidR="00AA05A4" w:rsidRPr="00055B46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4FBF6871" w14:textId="77777777" w:rsidR="00FA1330" w:rsidRPr="00055B46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055B46" w14:paraId="2F73E9E6" w14:textId="77777777" w:rsidTr="00055B46">
        <w:tc>
          <w:tcPr>
            <w:tcW w:w="11482" w:type="dxa"/>
            <w:gridSpan w:val="25"/>
            <w:tcBorders>
              <w:bottom w:val="single" w:sz="4" w:space="0" w:color="auto"/>
            </w:tcBorders>
          </w:tcPr>
          <w:p w14:paraId="681451BA" w14:textId="77777777" w:rsidR="003F15D4" w:rsidRPr="00055B46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6E904354" w14:textId="77777777" w:rsidR="00896A95" w:rsidRPr="00055B46" w:rsidRDefault="006B3581" w:rsidP="007102F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Componente: </w:t>
            </w:r>
            <w:r w:rsidR="009711A4" w:rsidRPr="00055B46">
              <w:rPr>
                <w:rFonts w:ascii="Montserrat" w:hAnsi="Montserrat" w:cs="Arial"/>
                <w:bCs/>
                <w:sz w:val="20"/>
                <w:szCs w:val="20"/>
              </w:rPr>
              <w:t>Atención hospitalaria especializada otorgada</w:t>
            </w:r>
          </w:p>
        </w:tc>
      </w:tr>
      <w:tr w:rsidR="00E23603" w:rsidRPr="00055B46" w14:paraId="2A9BF1EC" w14:textId="77777777" w:rsidTr="00055B46">
        <w:tc>
          <w:tcPr>
            <w:tcW w:w="11482" w:type="dxa"/>
            <w:gridSpan w:val="25"/>
            <w:shd w:val="clear" w:color="auto" w:fill="C00000"/>
          </w:tcPr>
          <w:p w14:paraId="0CE0E41D" w14:textId="77777777" w:rsidR="00E23603" w:rsidRPr="00055B46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055B46" w14:paraId="64AF026B" w14:textId="77777777" w:rsidTr="00055B46">
        <w:tc>
          <w:tcPr>
            <w:tcW w:w="5169" w:type="dxa"/>
            <w:gridSpan w:val="12"/>
          </w:tcPr>
          <w:p w14:paraId="3B9CA5DA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0393821A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59" w:type="dxa"/>
            <w:gridSpan w:val="7"/>
          </w:tcPr>
          <w:p w14:paraId="4CF2D41F" w14:textId="77777777" w:rsidR="00647733" w:rsidRPr="00055B46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1AC07757" w14:textId="517DA4F8" w:rsidR="00647733" w:rsidRPr="00055B46" w:rsidRDefault="00F42903" w:rsidP="000D21D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1.1.1.6</w:t>
            </w:r>
          </w:p>
        </w:tc>
      </w:tr>
      <w:tr w:rsidR="00647733" w:rsidRPr="00055B46" w14:paraId="373D35F4" w14:textId="77777777" w:rsidTr="00055B46">
        <w:tc>
          <w:tcPr>
            <w:tcW w:w="5169" w:type="dxa"/>
            <w:gridSpan w:val="12"/>
          </w:tcPr>
          <w:p w14:paraId="28FCBD75" w14:textId="77777777" w:rsidR="008C6686" w:rsidRPr="00055B46" w:rsidRDefault="008C6686" w:rsidP="0075616B">
            <w:pPr>
              <w:tabs>
                <w:tab w:val="num" w:pos="540"/>
              </w:tabs>
              <w:ind w:left="540" w:right="-43" w:hanging="540"/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</w:pPr>
          </w:p>
          <w:p w14:paraId="02FCEB47" w14:textId="77777777" w:rsidR="007E2258" w:rsidRPr="00055B46" w:rsidRDefault="00271B4D" w:rsidP="0075616B">
            <w:pPr>
              <w:tabs>
                <w:tab w:val="num" w:pos="0"/>
              </w:tabs>
              <w:ind w:left="83" w:right="-43" w:hanging="32"/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Porcentaje de usuarios con percepción </w:t>
            </w:r>
            <w:r w:rsidR="00FC14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de satisfacción </w:t>
            </w: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de la</w:t>
            </w:r>
            <w:r w:rsidR="00FC14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</w:t>
            </w: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calidad de la atención médica </w:t>
            </w:r>
            <w:r w:rsidR="00FC14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hospitalaria </w:t>
            </w: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recibida superior</w:t>
            </w:r>
            <w:r w:rsidR="00FC14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</w:t>
            </w: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a </w:t>
            </w:r>
            <w:r w:rsidR="006A7B7C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8</w:t>
            </w:r>
            <w:r w:rsidR="007E58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0</w:t>
            </w:r>
            <w:r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p</w:t>
            </w:r>
            <w:r w:rsidR="00FC1437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>untos</w:t>
            </w:r>
            <w:r w:rsidR="00E20F9F" w:rsidRPr="00055B46">
              <w:rPr>
                <w:rFonts w:ascii="Montserrat" w:hAnsi="Montserrat" w:cs="Arial"/>
                <w:bCs/>
                <w:color w:val="000000"/>
                <w:sz w:val="20"/>
                <w:szCs w:val="20"/>
              </w:rPr>
              <w:t xml:space="preserve"> porcentuales</w:t>
            </w:r>
          </w:p>
          <w:p w14:paraId="3BDAB7FE" w14:textId="77777777" w:rsidR="0038130A" w:rsidRPr="00055B46" w:rsidRDefault="0038130A" w:rsidP="0075616B">
            <w:pPr>
              <w:tabs>
                <w:tab w:val="num" w:pos="0"/>
              </w:tabs>
              <w:ind w:left="83" w:right="-43" w:hanging="32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50D163C4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0BED348B" w14:textId="77777777" w:rsidR="00647733" w:rsidRPr="00055B46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26055FE9" w14:textId="77777777" w:rsidR="005016E1" w:rsidRPr="00055B46" w:rsidRDefault="005016E1" w:rsidP="00D1030F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D1030F" w:rsidRPr="00055B46">
              <w:rPr>
                <w:rFonts w:ascii="Montserrat" w:hAnsi="Montserrat" w:cs="Arial"/>
                <w:bCs/>
                <w:sz w:val="20"/>
                <w:szCs w:val="20"/>
              </w:rPr>
              <w:t>8</w:t>
            </w:r>
          </w:p>
        </w:tc>
      </w:tr>
      <w:tr w:rsidR="00507DF3" w:rsidRPr="00055B46" w14:paraId="63333B8A" w14:textId="77777777" w:rsidTr="00055B46">
        <w:tc>
          <w:tcPr>
            <w:tcW w:w="5169" w:type="dxa"/>
            <w:gridSpan w:val="12"/>
          </w:tcPr>
          <w:p w14:paraId="424B8FFB" w14:textId="77777777" w:rsidR="00507DF3" w:rsidRPr="00055B46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67DF6ED1" w14:textId="77777777" w:rsidR="00AA60C2" w:rsidRPr="00055B46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1AB3194" w14:textId="77777777" w:rsidR="00507DF3" w:rsidRPr="00055B46" w:rsidRDefault="00FF5AE4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Calidad</w:t>
            </w:r>
          </w:p>
          <w:p w14:paraId="1F99B297" w14:textId="77777777" w:rsidR="00507DF3" w:rsidRPr="00055B46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6650AB2" w14:textId="77777777" w:rsidR="00507DF3" w:rsidRPr="00055B46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4D583637" w14:textId="77777777" w:rsidR="00C61807" w:rsidRPr="00055B46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4C24B6DE" w14:textId="77777777" w:rsidR="00272E74" w:rsidRPr="00055B46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7884927" w14:textId="77777777" w:rsidR="00D5284F" w:rsidRPr="00055B46" w:rsidRDefault="00D5284F" w:rsidP="00AC51E9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Este indicador permite evaluar la calidad </w:t>
            </w:r>
            <w:r w:rsidR="002F37BA">
              <w:rPr>
                <w:rFonts w:ascii="Montserrat" w:hAnsi="Montserrat" w:cs="Arial"/>
                <w:bCs/>
                <w:sz w:val="20"/>
                <w:szCs w:val="20"/>
              </w:rPr>
              <w:t xml:space="preserve">de </w:t>
            </w:r>
            <w:r w:rsidR="002F37BA" w:rsidRPr="00055B46">
              <w:rPr>
                <w:rFonts w:ascii="Montserrat" w:hAnsi="Montserrat" w:cs="Arial"/>
                <w:bCs/>
                <w:sz w:val="20"/>
                <w:szCs w:val="20"/>
              </w:rPr>
              <w:t>la atención médica</w:t>
            </w:r>
            <w:r w:rsidR="00A00078">
              <w:rPr>
                <w:rFonts w:ascii="Montserrat" w:hAnsi="Montserrat" w:cs="Arial"/>
                <w:bCs/>
                <w:sz w:val="20"/>
                <w:szCs w:val="20"/>
              </w:rPr>
              <w:t xml:space="preserve"> hospitalaria</w:t>
            </w:r>
            <w:r w:rsidR="002F37BA">
              <w:rPr>
                <w:rFonts w:ascii="Montserrat" w:hAnsi="Montserrat" w:cs="Arial"/>
                <w:bCs/>
                <w:sz w:val="20"/>
                <w:szCs w:val="20"/>
              </w:rPr>
              <w:t xml:space="preserve">, con base en la </w:t>
            </w:r>
            <w:r w:rsidR="002F37BA" w:rsidRPr="002F37BA">
              <w:rPr>
                <w:rFonts w:ascii="Montserrat" w:hAnsi="Montserrat" w:cs="Arial"/>
                <w:bCs/>
                <w:sz w:val="20"/>
                <w:szCs w:val="20"/>
              </w:rPr>
              <w:t xml:space="preserve">percepción de </w:t>
            </w:r>
            <w:r w:rsidR="002F37BA">
              <w:rPr>
                <w:rFonts w:ascii="Montserrat" w:hAnsi="Montserrat" w:cs="Arial"/>
                <w:bCs/>
                <w:sz w:val="20"/>
                <w:szCs w:val="20"/>
              </w:rPr>
              <w:t>los usuarios y considerando el porcentaje de satisfacción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superior a 80 puntos</w:t>
            </w:r>
            <w:r w:rsidR="003B55F2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porcentuales 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de la población usuaria de servicios hospitalarios que se atiende en las entidades que participan en el programa</w:t>
            </w:r>
          </w:p>
          <w:p w14:paraId="026B233B" w14:textId="77777777" w:rsidR="00F7195D" w:rsidRPr="00055B46" w:rsidRDefault="00F7195D" w:rsidP="00D5284F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055B46" w14:paraId="547D3943" w14:textId="77777777" w:rsidTr="00055B46">
        <w:tc>
          <w:tcPr>
            <w:tcW w:w="5169" w:type="dxa"/>
            <w:gridSpan w:val="12"/>
            <w:tcBorders>
              <w:bottom w:val="single" w:sz="4" w:space="0" w:color="auto"/>
            </w:tcBorders>
          </w:tcPr>
          <w:p w14:paraId="3F800450" w14:textId="77777777" w:rsidR="00507DF3" w:rsidRPr="00055B46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2D32401D" w14:textId="77777777" w:rsidR="00AC51E9" w:rsidRPr="00055B46" w:rsidRDefault="00AC51E9" w:rsidP="00271A9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BD26436" w14:textId="77777777" w:rsidR="00271A9A" w:rsidRDefault="00271A9A" w:rsidP="0075616B">
            <w:pPr>
              <w:tabs>
                <w:tab w:val="num" w:pos="0"/>
              </w:tabs>
              <w:ind w:left="34" w:right="99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Número de usuarios en atención hospitalaria que</w:t>
            </w:r>
            <w:r w:rsidR="00CC34E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manifestaron una calificación de </w:t>
            </w:r>
            <w:r w:rsidR="00CC34E6">
              <w:rPr>
                <w:rFonts w:ascii="Montserrat" w:hAnsi="Montserrat" w:cs="Arial"/>
                <w:bCs/>
                <w:sz w:val="20"/>
                <w:szCs w:val="20"/>
              </w:rPr>
              <w:t>p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ercepción de satisfacción de la calidad de la atención recibida superior a 80 puntos</w:t>
            </w:r>
            <w:r w:rsidR="00E20F9F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porcentuales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/ Total de usuarios </w:t>
            </w:r>
            <w:r w:rsidR="00E20F9F" w:rsidRPr="00055B46">
              <w:rPr>
                <w:rFonts w:ascii="Montserrat" w:hAnsi="Montserrat" w:cs="Arial"/>
                <w:bCs/>
                <w:sz w:val="20"/>
                <w:szCs w:val="20"/>
              </w:rPr>
              <w:t>en atención hospitalaria e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ncuestados x 100</w:t>
            </w:r>
          </w:p>
          <w:p w14:paraId="515B56FD" w14:textId="77777777" w:rsidR="00154D5D" w:rsidRPr="00055B46" w:rsidRDefault="00154D5D" w:rsidP="0075616B">
            <w:pPr>
              <w:tabs>
                <w:tab w:val="num" w:pos="0"/>
              </w:tabs>
              <w:ind w:left="34" w:right="99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38250CFD" w14:textId="77777777" w:rsidR="00507DF3" w:rsidRPr="00055B46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00702107" w14:textId="77777777" w:rsidR="00814814" w:rsidRPr="00055B46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68AFB839" w14:textId="77777777" w:rsidR="004F4C27" w:rsidRPr="00055B46" w:rsidRDefault="004F4C27" w:rsidP="004F4C2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83B42C4" w14:textId="77777777" w:rsidR="00507DF3" w:rsidRPr="00055B46" w:rsidRDefault="004F4C27" w:rsidP="00E54178">
            <w:pPr>
              <w:rPr>
                <w:rFonts w:ascii="Montserrat" w:hAnsi="Montserrat" w:cs="Arial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sz w:val="20"/>
                <w:szCs w:val="20"/>
              </w:rPr>
              <w:t>Porcentaje</w:t>
            </w:r>
          </w:p>
        </w:tc>
      </w:tr>
      <w:tr w:rsidR="00647733" w:rsidRPr="00055B46" w14:paraId="0F1A3B4F" w14:textId="77777777" w:rsidTr="00055B46">
        <w:tc>
          <w:tcPr>
            <w:tcW w:w="5169" w:type="dxa"/>
            <w:gridSpan w:val="12"/>
            <w:tcBorders>
              <w:bottom w:val="single" w:sz="4" w:space="0" w:color="auto"/>
            </w:tcBorders>
          </w:tcPr>
          <w:p w14:paraId="630A93EF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7DA1470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744ED3A4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055B46" w14:paraId="346907B6" w14:textId="77777777" w:rsidTr="00055B46">
        <w:tc>
          <w:tcPr>
            <w:tcW w:w="5169" w:type="dxa"/>
            <w:gridSpan w:val="12"/>
            <w:tcBorders>
              <w:bottom w:val="single" w:sz="4" w:space="0" w:color="auto"/>
            </w:tcBorders>
          </w:tcPr>
          <w:p w14:paraId="7C61FB92" w14:textId="77777777" w:rsidR="00647733" w:rsidRPr="00055B46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055B46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55FD00E1" w14:textId="77777777" w:rsidR="00647733" w:rsidRPr="00055B46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6617A6DB" w14:textId="77777777" w:rsidR="00647733" w:rsidRPr="00055B46" w:rsidRDefault="00256A6C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97DFF">
              <w:rPr>
                <w:rFonts w:ascii="Montserrat" w:hAnsi="Montserrat" w:cs="Arial"/>
                <w:bCs/>
                <w:sz w:val="20"/>
                <w:szCs w:val="20"/>
              </w:rPr>
              <w:t>Trim</w:t>
            </w:r>
            <w:r w:rsidR="00B76586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B76586" w:rsidRPr="00055B46">
              <w:rPr>
                <w:rFonts w:ascii="Montserrat" w:hAnsi="Montserrat" w:cs="Arial"/>
                <w:bCs/>
                <w:sz w:val="20"/>
                <w:szCs w:val="20"/>
              </w:rPr>
              <w:t>stral</w:t>
            </w:r>
          </w:p>
        </w:tc>
      </w:tr>
      <w:tr w:rsidR="004C04C3" w:rsidRPr="00055B46" w14:paraId="5403AD13" w14:textId="77777777" w:rsidTr="00055B46">
        <w:tc>
          <w:tcPr>
            <w:tcW w:w="11482" w:type="dxa"/>
            <w:gridSpan w:val="25"/>
            <w:shd w:val="clear" w:color="auto" w:fill="C00000"/>
          </w:tcPr>
          <w:p w14:paraId="3C599707" w14:textId="77777777" w:rsidR="004C04C3" w:rsidRPr="00055B46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055B46" w14:paraId="3E4CCFD9" w14:textId="77777777" w:rsidTr="00055B46">
        <w:tc>
          <w:tcPr>
            <w:tcW w:w="1749" w:type="dxa"/>
            <w:gridSpan w:val="2"/>
          </w:tcPr>
          <w:p w14:paraId="2C13A152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0820A474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6751AB90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vMerge w:val="restart"/>
          </w:tcPr>
          <w:p w14:paraId="432FA0B5" w14:textId="77777777" w:rsidR="0053138B" w:rsidRPr="00055B46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10"/>
          </w:tcPr>
          <w:p w14:paraId="15352117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324320F6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395" w:type="dxa"/>
            <w:gridSpan w:val="2"/>
          </w:tcPr>
          <w:p w14:paraId="54543A48" w14:textId="77777777" w:rsidR="0053138B" w:rsidRPr="00055B46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055B46" w14:paraId="3FF77BF0" w14:textId="77777777" w:rsidTr="00055B46">
        <w:tc>
          <w:tcPr>
            <w:tcW w:w="1749" w:type="dxa"/>
            <w:gridSpan w:val="2"/>
            <w:vAlign w:val="center"/>
          </w:tcPr>
          <w:p w14:paraId="23CE7CB1" w14:textId="77777777" w:rsidR="0053138B" w:rsidRPr="00055B46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4392695E" w14:textId="77777777" w:rsidR="0053138B" w:rsidRPr="00055B46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62E11789" w14:textId="77777777" w:rsidR="0053138B" w:rsidRPr="00055B46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vAlign w:val="center"/>
          </w:tcPr>
          <w:p w14:paraId="7050BB2F" w14:textId="77777777" w:rsidR="0053138B" w:rsidRPr="00055B46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10"/>
            <w:vAlign w:val="center"/>
          </w:tcPr>
          <w:p w14:paraId="6429E0CD" w14:textId="77777777" w:rsidR="0053138B" w:rsidRPr="00055B46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35A1F383" w14:textId="77777777" w:rsidR="0053138B" w:rsidRPr="00055B46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2107B6AB" w14:textId="77777777" w:rsidR="0053138B" w:rsidRPr="00055B46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055B46" w14:paraId="7F6303CC" w14:textId="77777777" w:rsidTr="00055B46">
        <w:tc>
          <w:tcPr>
            <w:tcW w:w="11482" w:type="dxa"/>
            <w:gridSpan w:val="25"/>
          </w:tcPr>
          <w:p w14:paraId="145A7A69" w14:textId="77777777" w:rsidR="00171537" w:rsidRPr="00055B46" w:rsidRDefault="00171537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E16C7E9" w14:textId="77777777" w:rsidR="00154D5D" w:rsidRDefault="00154D5D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B003791" w14:textId="77777777" w:rsidR="00CB6555" w:rsidRPr="00055B46" w:rsidRDefault="00CB6555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5260B4AE" w14:textId="77777777" w:rsidR="00154D5D" w:rsidRDefault="00154D5D" w:rsidP="0075616B">
            <w:pPr>
              <w:tabs>
                <w:tab w:val="num" w:pos="0"/>
              </w:tabs>
              <w:ind w:left="34" w:right="175" w:hanging="34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3004C8D" w14:textId="77777777" w:rsidR="00B52498" w:rsidRPr="00055B46" w:rsidRDefault="00CB6555" w:rsidP="0075616B">
            <w:pPr>
              <w:tabs>
                <w:tab w:val="num" w:pos="0"/>
              </w:tabs>
              <w:ind w:left="34" w:right="175" w:hanging="34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Mide la satisfacción de los usuarios respecto al estándar de 80 puntos </w:t>
            </w:r>
            <w:r w:rsidR="006B108B"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porcentuales 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>o superior con los de los</w:t>
            </w:r>
            <w:r w:rsidR="005D4A3D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>servicios médicos</w:t>
            </w:r>
            <w:r w:rsidR="00086D64"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>hospitalarios proporcionados por la institución</w:t>
            </w:r>
          </w:p>
          <w:p w14:paraId="1D85B928" w14:textId="77777777" w:rsidR="00154D5D" w:rsidRDefault="00154D5D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E1CF7A4" w14:textId="77777777" w:rsidR="00CB6555" w:rsidRPr="00055B46" w:rsidRDefault="00CB6555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="00CC34E6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F37F7" w:rsidRPr="00055B46">
              <w:rPr>
                <w:rFonts w:ascii="Montserrat" w:hAnsi="Montserrat" w:cs="Arial"/>
                <w:bCs/>
                <w:sz w:val="18"/>
                <w:szCs w:val="18"/>
              </w:rPr>
              <w:t>La información base del indicador está presente en los sistemas de información institucionales</w:t>
            </w:r>
          </w:p>
          <w:p w14:paraId="28552CB1" w14:textId="77777777" w:rsidR="00154D5D" w:rsidRDefault="00154D5D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6A03B2B" w14:textId="77777777" w:rsidR="00CB6555" w:rsidRPr="00055B46" w:rsidRDefault="00CB6555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lastRenderedPageBreak/>
              <w:t>Monitoreable</w:t>
            </w:r>
            <w:proofErr w:type="spellEnd"/>
            <w:r w:rsidR="00CC34E6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: 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>El indicador puede ser verificado en los sistemas de información institucionales</w:t>
            </w:r>
          </w:p>
          <w:p w14:paraId="2C0ADBA8" w14:textId="77777777" w:rsidR="00154D5D" w:rsidRDefault="00154D5D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7997940" w14:textId="77777777" w:rsidR="00CB6555" w:rsidRPr="00055B46" w:rsidRDefault="00CB6555" w:rsidP="0075616B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t>Adecuado:</w:t>
            </w:r>
            <w:r w:rsidR="00CC34E6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="00CC34E6">
              <w:rPr>
                <w:rFonts w:ascii="Montserrat" w:hAnsi="Montserrat" w:cs="Arial"/>
                <w:bCs/>
                <w:sz w:val="18"/>
                <w:szCs w:val="18"/>
              </w:rPr>
              <w:t>E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>l indicador es adecuado, permite valorar la contribución del programa</w:t>
            </w:r>
          </w:p>
          <w:p w14:paraId="15CD4F17" w14:textId="77777777" w:rsidR="00154D5D" w:rsidRDefault="00154D5D" w:rsidP="0075616B">
            <w:pPr>
              <w:ind w:left="1594" w:right="175" w:hanging="1594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05FD9BC" w14:textId="77777777" w:rsidR="00C10CB9" w:rsidRDefault="00CB6555" w:rsidP="0075616B">
            <w:pPr>
              <w:ind w:left="1594" w:right="175" w:hanging="1594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055B46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A00078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>ermite conocer la satisfacción del paciente durante su proceso de atención médica hospitalaria y por lo</w:t>
            </w:r>
            <w:r w:rsidR="009831C8"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A00078">
              <w:rPr>
                <w:rFonts w:ascii="Montserrat" w:hAnsi="Montserrat" w:cs="Arial"/>
                <w:bCs/>
                <w:sz w:val="18"/>
                <w:szCs w:val="18"/>
              </w:rPr>
              <w:t>t</w:t>
            </w:r>
            <w:r w:rsidR="00055B46" w:rsidRPr="00055B46">
              <w:rPr>
                <w:rFonts w:ascii="Montserrat" w:hAnsi="Montserrat" w:cs="Arial"/>
                <w:bCs/>
                <w:sz w:val="18"/>
                <w:szCs w:val="18"/>
              </w:rPr>
              <w:t>anto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 xml:space="preserve"> contribuye a mejorar los procesos internos de la institución. Los resultados pueden ser la base en las que se</w:t>
            </w:r>
            <w:r w:rsidR="005D4A3D">
              <w:rPr>
                <w:rFonts w:ascii="Montserrat" w:hAnsi="Montserrat" w:cs="Arial"/>
                <w:bCs/>
                <w:sz w:val="18"/>
                <w:szCs w:val="18"/>
              </w:rPr>
              <w:t xml:space="preserve"> s</w:t>
            </w:r>
            <w:r w:rsidR="00B52498" w:rsidRPr="00055B46">
              <w:rPr>
                <w:rFonts w:ascii="Montserrat" w:hAnsi="Montserrat" w:cs="Arial"/>
                <w:bCs/>
                <w:sz w:val="18"/>
                <w:szCs w:val="18"/>
              </w:rPr>
              <w:t>ustenten los planes de mejora de los servicios de atención hospitalaria</w:t>
            </w:r>
          </w:p>
          <w:p w14:paraId="7830B37F" w14:textId="77777777" w:rsidR="00154D5D" w:rsidRPr="00055B46" w:rsidRDefault="00154D5D" w:rsidP="0075616B">
            <w:pPr>
              <w:ind w:left="1594" w:right="175" w:hanging="15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055B46" w14:paraId="4DA6E723" w14:textId="77777777" w:rsidTr="00055B46">
        <w:tc>
          <w:tcPr>
            <w:tcW w:w="11482" w:type="dxa"/>
            <w:gridSpan w:val="25"/>
          </w:tcPr>
          <w:p w14:paraId="1495B0A8" w14:textId="77777777" w:rsidR="005E6741" w:rsidRPr="00055B46" w:rsidRDefault="00AA719A" w:rsidP="004F4C27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433AEA" w:rsidRPr="00055B46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6257B4" w:rsidRPr="00055B46">
              <w:rPr>
                <w:rFonts w:ascii="Montserrat" w:hAnsi="Montserrat" w:cs="Arial"/>
                <w:bCs/>
                <w:sz w:val="20"/>
                <w:szCs w:val="20"/>
              </w:rPr>
              <w:t>, 2017</w:t>
            </w:r>
            <w:r w:rsidR="005870DF" w:rsidRPr="00055B46">
              <w:rPr>
                <w:rFonts w:ascii="Montserrat" w:hAnsi="Montserrat" w:cs="Arial"/>
                <w:bCs/>
                <w:sz w:val="20"/>
                <w:szCs w:val="20"/>
              </w:rPr>
              <w:t>, 2018</w:t>
            </w:r>
            <w:r w:rsidR="00A00078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F90B8A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ED3032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AE7E73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AE7E73" w:rsidRPr="00B2288B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FB1910" w:rsidRPr="00B2288B">
              <w:rPr>
                <w:rFonts w:ascii="Montserrat" w:hAnsi="Montserrat" w:cs="Arial"/>
                <w:bCs/>
                <w:sz w:val="20"/>
                <w:szCs w:val="20"/>
              </w:rPr>
              <w:t>, 2023</w:t>
            </w:r>
            <w:r w:rsidR="00B2288B" w:rsidRPr="00B2288B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B2288B">
              <w:rPr>
                <w:rFonts w:ascii="Montserrat" w:hAnsi="Montserrat" w:cs="Arial"/>
                <w:bCs/>
                <w:sz w:val="20"/>
                <w:szCs w:val="20"/>
              </w:rPr>
              <w:t xml:space="preserve"> 2024, 2025</w:t>
            </w:r>
          </w:p>
        </w:tc>
      </w:tr>
      <w:tr w:rsidR="00AA719A" w:rsidRPr="00055B46" w14:paraId="27CD27ED" w14:textId="77777777" w:rsidTr="00055B46">
        <w:tc>
          <w:tcPr>
            <w:tcW w:w="11482" w:type="dxa"/>
            <w:gridSpan w:val="25"/>
            <w:tcBorders>
              <w:bottom w:val="single" w:sz="4" w:space="0" w:color="auto"/>
            </w:tcBorders>
          </w:tcPr>
          <w:p w14:paraId="16FDF5D8" w14:textId="77777777" w:rsidR="00943C5B" w:rsidRPr="00055B46" w:rsidRDefault="00AA719A" w:rsidP="00AC51E9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872C7A" w:rsidRPr="00055B46">
              <w:rPr>
                <w:rFonts w:ascii="Montserrat" w:hAnsi="Montserrat" w:cs="Arial"/>
                <w:bCs/>
                <w:sz w:val="20"/>
                <w:szCs w:val="20"/>
              </w:rPr>
              <w:t>entidades ejecutoras del programa</w:t>
            </w:r>
          </w:p>
        </w:tc>
      </w:tr>
      <w:tr w:rsidR="00712663" w:rsidRPr="00055B46" w14:paraId="7666E844" w14:textId="77777777" w:rsidTr="00055B46">
        <w:tc>
          <w:tcPr>
            <w:tcW w:w="11482" w:type="dxa"/>
            <w:gridSpan w:val="25"/>
            <w:shd w:val="clear" w:color="auto" w:fill="C00000"/>
          </w:tcPr>
          <w:p w14:paraId="04817B61" w14:textId="77777777" w:rsidR="00712663" w:rsidRPr="00055B46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055B46" w14:paraId="7CAAAD1F" w14:textId="77777777" w:rsidTr="00055B46">
        <w:trPr>
          <w:trHeight w:val="274"/>
        </w:trPr>
        <w:tc>
          <w:tcPr>
            <w:tcW w:w="5217" w:type="dxa"/>
            <w:gridSpan w:val="13"/>
          </w:tcPr>
          <w:p w14:paraId="64E96319" w14:textId="77777777" w:rsidR="00270110" w:rsidRPr="00055B46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688BB396" w14:textId="77777777" w:rsidR="00270110" w:rsidRPr="00055B46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527564D9" w14:textId="77777777" w:rsidR="00270110" w:rsidRPr="00055B46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055B46" w14:paraId="72469949" w14:textId="77777777" w:rsidTr="00055B46">
        <w:trPr>
          <w:trHeight w:val="274"/>
        </w:trPr>
        <w:tc>
          <w:tcPr>
            <w:tcW w:w="1531" w:type="dxa"/>
          </w:tcPr>
          <w:p w14:paraId="3AC08BBA" w14:textId="77777777" w:rsidR="00013FE4" w:rsidRPr="00055B46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996DCB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3"/>
          </w:tcPr>
          <w:p w14:paraId="07BD3604" w14:textId="77777777" w:rsidR="00013FE4" w:rsidRPr="00055B46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</w:t>
            </w:r>
            <w:r w:rsidR="00996DCB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00CDE9F5" w14:textId="77777777" w:rsidR="00013FE4" w:rsidRPr="00055B46" w:rsidRDefault="00EB376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  </w:t>
            </w:r>
            <w:r w:rsidR="00996DCB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76951FD0" w14:textId="77777777" w:rsidR="00013FE4" w:rsidRPr="00055B46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51F2572A" w14:textId="77777777" w:rsidR="00013FE4" w:rsidRPr="00055B46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906BB26" w14:textId="77777777" w:rsidR="00013FE4" w:rsidRPr="00055B46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055B46" w14:paraId="22521B68" w14:textId="77777777" w:rsidTr="00055B46">
        <w:trPr>
          <w:trHeight w:val="274"/>
        </w:trPr>
        <w:tc>
          <w:tcPr>
            <w:tcW w:w="1531" w:type="dxa"/>
            <w:vAlign w:val="center"/>
          </w:tcPr>
          <w:p w14:paraId="197388B9" w14:textId="77777777" w:rsidR="00013FE4" w:rsidRPr="00055B46" w:rsidRDefault="00433AEA" w:rsidP="00943C5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87.8</w:t>
            </w:r>
          </w:p>
        </w:tc>
        <w:tc>
          <w:tcPr>
            <w:tcW w:w="1134" w:type="dxa"/>
            <w:gridSpan w:val="3"/>
            <w:vAlign w:val="center"/>
          </w:tcPr>
          <w:p w14:paraId="0050D6C9" w14:textId="77777777" w:rsidR="00013FE4" w:rsidRPr="00055B46" w:rsidRDefault="003762D1" w:rsidP="00EB376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2016</w:t>
            </w:r>
          </w:p>
        </w:tc>
        <w:tc>
          <w:tcPr>
            <w:tcW w:w="2552" w:type="dxa"/>
            <w:gridSpan w:val="9"/>
            <w:vAlign w:val="center"/>
          </w:tcPr>
          <w:p w14:paraId="384C8BA0" w14:textId="77777777" w:rsidR="00013FE4" w:rsidRPr="00055B46" w:rsidRDefault="00EB3762" w:rsidP="00EB376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  </w:t>
            </w:r>
            <w:r w:rsidR="003C7FC3" w:rsidRPr="00055B46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  <w:tc>
          <w:tcPr>
            <w:tcW w:w="236" w:type="dxa"/>
            <w:gridSpan w:val="2"/>
            <w:vMerge/>
          </w:tcPr>
          <w:p w14:paraId="6B955237" w14:textId="77777777" w:rsidR="00013FE4" w:rsidRPr="00055B46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5A7FEF15" w14:textId="77777777" w:rsidR="00013FE4" w:rsidRPr="00055B46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7903D011" w14:textId="77777777" w:rsidR="009E1033" w:rsidRPr="00055B46" w:rsidRDefault="006257B4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3C7FC3" w:rsidRPr="00055B46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055B46" w14:paraId="33D63180" w14:textId="77777777" w:rsidTr="00055B46">
        <w:trPr>
          <w:trHeight w:val="274"/>
        </w:trPr>
        <w:tc>
          <w:tcPr>
            <w:tcW w:w="5217" w:type="dxa"/>
            <w:gridSpan w:val="13"/>
          </w:tcPr>
          <w:p w14:paraId="42F228BE" w14:textId="77777777" w:rsidR="00760043" w:rsidRPr="00055B46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5F11D132" w14:textId="77777777" w:rsidR="00270110" w:rsidRPr="00055B46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499352A4" w14:textId="77777777" w:rsidR="00270110" w:rsidRPr="00055B46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055B46" w14:paraId="5BF5157E" w14:textId="77777777" w:rsidTr="00055B46">
        <w:trPr>
          <w:trHeight w:val="274"/>
        </w:trPr>
        <w:tc>
          <w:tcPr>
            <w:tcW w:w="5217" w:type="dxa"/>
            <w:gridSpan w:val="13"/>
          </w:tcPr>
          <w:p w14:paraId="3B35BFC3" w14:textId="77777777" w:rsidR="00D5103F" w:rsidRPr="00055B46" w:rsidRDefault="003762D1" w:rsidP="003762D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180A6187" w14:textId="77777777" w:rsidR="00D5103F" w:rsidRPr="00055B46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614C28AB" w14:textId="77777777" w:rsidR="00D5103F" w:rsidRPr="00055B46" w:rsidRDefault="003762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</w:t>
            </w:r>
            <w:r w:rsidR="00D5103F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41C123E7" w14:textId="77777777" w:rsidR="00D5103F" w:rsidRPr="00055B46" w:rsidRDefault="003762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</w:t>
            </w:r>
            <w:r w:rsidR="00D5103F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296" w:type="dxa"/>
          </w:tcPr>
          <w:p w14:paraId="298B3175" w14:textId="77777777" w:rsidR="00D5103F" w:rsidRPr="00055B46" w:rsidRDefault="003762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055B46" w14:paraId="3DA697A8" w14:textId="77777777" w:rsidTr="00055B46">
        <w:trPr>
          <w:trHeight w:val="274"/>
        </w:trPr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14:paraId="64466142" w14:textId="77777777" w:rsidR="00D36E16" w:rsidRPr="00055B46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658" w:type="dxa"/>
            <w:gridSpan w:val="10"/>
            <w:tcBorders>
              <w:bottom w:val="single" w:sz="4" w:space="0" w:color="auto"/>
            </w:tcBorders>
          </w:tcPr>
          <w:p w14:paraId="7B0DFCAF" w14:textId="77777777" w:rsidR="00D36E16" w:rsidRPr="00055B46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62A3D25D" w14:textId="77777777" w:rsidR="00D36E16" w:rsidRPr="00055B46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41CA1F50" w14:textId="77777777" w:rsidR="00D36E16" w:rsidRPr="00055B46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055B46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02201EA0" w14:textId="77777777" w:rsidR="00D36E16" w:rsidRPr="00055B46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25439C72" w14:textId="77777777" w:rsidR="00D36E16" w:rsidRPr="00055B46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proofErr w:type="spellStart"/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2DD57D5C" w14:textId="77777777" w:rsidR="00D36E16" w:rsidRPr="00055B46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23708E3" w14:textId="77777777" w:rsidR="00D36E16" w:rsidRPr="00055B46" w:rsidRDefault="003762D1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r w:rsidR="00D36E16" w:rsidRPr="00055B46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445CDDD5" w14:textId="77777777" w:rsidR="00D36E16" w:rsidRPr="00055B46" w:rsidRDefault="003762D1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proofErr w:type="spellStart"/>
            <w:r w:rsidR="00D36E16" w:rsidRPr="00055B46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39B7077A" w14:textId="77777777" w:rsidR="00D36E16" w:rsidRPr="00055B46" w:rsidRDefault="003762D1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r w:rsidR="00D36E16" w:rsidRPr="00055B46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940525" w:rsidRPr="00055B46" w14:paraId="29301072" w14:textId="77777777" w:rsidTr="00055B46">
        <w:trPr>
          <w:trHeight w:val="274"/>
        </w:trPr>
        <w:tc>
          <w:tcPr>
            <w:tcW w:w="11482" w:type="dxa"/>
            <w:gridSpan w:val="25"/>
            <w:tcBorders>
              <w:bottom w:val="single" w:sz="4" w:space="0" w:color="auto"/>
            </w:tcBorders>
            <w:shd w:val="clear" w:color="auto" w:fill="C00000"/>
          </w:tcPr>
          <w:p w14:paraId="3B14D4AF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055B46" w14:paraId="2861B945" w14:textId="77777777" w:rsidTr="00055B46">
        <w:trPr>
          <w:trHeight w:val="274"/>
        </w:trPr>
        <w:tc>
          <w:tcPr>
            <w:tcW w:w="11482" w:type="dxa"/>
            <w:gridSpan w:val="25"/>
          </w:tcPr>
          <w:p w14:paraId="33F3BB35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055B46" w14:paraId="3013A33C" w14:textId="77777777" w:rsidTr="00055B46">
        <w:trPr>
          <w:trHeight w:val="148"/>
        </w:trPr>
        <w:tc>
          <w:tcPr>
            <w:tcW w:w="5889" w:type="dxa"/>
            <w:gridSpan w:val="17"/>
          </w:tcPr>
          <w:p w14:paraId="480D5DD0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43D4D4EC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56F92BD6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055B46" w14:paraId="7A1A6E12" w14:textId="77777777" w:rsidTr="00055B46">
        <w:trPr>
          <w:trHeight w:val="483"/>
        </w:trPr>
        <w:tc>
          <w:tcPr>
            <w:tcW w:w="5889" w:type="dxa"/>
            <w:gridSpan w:val="17"/>
          </w:tcPr>
          <w:p w14:paraId="7C69FD40" w14:textId="77777777" w:rsidR="00443B8D" w:rsidRPr="00055B46" w:rsidRDefault="00443B8D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092572E5" w14:textId="77777777" w:rsidR="00443B8D" w:rsidRPr="00055B46" w:rsidRDefault="00443B8D" w:rsidP="0075616B">
            <w:pPr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Número de usuarios en atención </w:t>
            </w:r>
            <w:r w:rsidR="008E0761" w:rsidRPr="00055B46">
              <w:rPr>
                <w:rFonts w:ascii="Montserrat" w:hAnsi="Montserrat" w:cs="Arial"/>
                <w:bCs/>
                <w:sz w:val="20"/>
                <w:szCs w:val="20"/>
              </w:rPr>
              <w:t>hospitalaria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que</w:t>
            </w:r>
            <w:r w:rsidR="00A00078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manifestaron una calificación de percepción de satisfacción de la calidad de la atención recibida superior a 80 puntos</w:t>
            </w:r>
            <w:r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5B093C" w:rsidRPr="00055B46">
              <w:rPr>
                <w:rFonts w:ascii="Montserrat" w:hAnsi="Montserrat" w:cs="Arial"/>
                <w:bCs/>
                <w:sz w:val="20"/>
                <w:szCs w:val="20"/>
              </w:rPr>
              <w:t>porcentuales</w:t>
            </w:r>
          </w:p>
          <w:p w14:paraId="7CB56B5E" w14:textId="77777777" w:rsidR="00443B8D" w:rsidRPr="00055B46" w:rsidRDefault="00443B8D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6E4ED7B" w14:textId="77777777" w:rsidR="00443B8D" w:rsidRPr="00055B46" w:rsidRDefault="00443B8D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V2</w:t>
            </w:r>
          </w:p>
          <w:p w14:paraId="27777D19" w14:textId="77777777" w:rsidR="00443B8D" w:rsidRPr="00055B46" w:rsidRDefault="00443B8D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Total de usuarios en atención </w:t>
            </w:r>
            <w:r w:rsidR="008E0761" w:rsidRPr="00055B46">
              <w:rPr>
                <w:rFonts w:ascii="Montserrat" w:hAnsi="Montserrat" w:cs="Arial"/>
                <w:bCs/>
                <w:sz w:val="20"/>
                <w:szCs w:val="20"/>
              </w:rPr>
              <w:t>hospitalaria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encuestados</w:t>
            </w:r>
          </w:p>
          <w:p w14:paraId="2E06F3C3" w14:textId="77777777" w:rsidR="00D3108C" w:rsidRPr="00055B46" w:rsidRDefault="00D3108C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BC244D9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46D81DD6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BFD6EE2" w14:textId="77777777" w:rsidR="00443B8D" w:rsidRPr="00055B46" w:rsidRDefault="00443B8D" w:rsidP="00AC51E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Usuarios en atención </w:t>
            </w:r>
            <w:r w:rsidR="008E0761" w:rsidRPr="00055B46">
              <w:rPr>
                <w:rFonts w:ascii="Montserrat" w:hAnsi="Montserrat" w:cs="Arial"/>
                <w:bCs/>
                <w:sz w:val="20"/>
                <w:szCs w:val="20"/>
              </w:rPr>
              <w:t>hospitalaria</w:t>
            </w: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que manifestaron una calificación de percepción de satisfacción de la calidad por la atención recibida superior a 80 puntos</w:t>
            </w:r>
            <w:r w:rsidR="005B093C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porcentuales </w:t>
            </w:r>
          </w:p>
          <w:p w14:paraId="7493D3A0" w14:textId="77777777" w:rsidR="00443B8D" w:rsidRPr="00055B46" w:rsidRDefault="00443B8D" w:rsidP="00443B8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662AA752" w14:textId="77777777" w:rsidR="00855A4E" w:rsidRDefault="00855A4E" w:rsidP="00443B8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D61DAEB" w14:textId="77777777" w:rsidR="00443B8D" w:rsidRPr="00055B46" w:rsidRDefault="00443B8D" w:rsidP="00443B8D">
            <w:pPr>
              <w:rPr>
                <w:rFonts w:ascii="Montserrat" w:hAnsi="Montserrat" w:cs="Arial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sz w:val="20"/>
                <w:szCs w:val="20"/>
              </w:rPr>
              <w:t xml:space="preserve">Usuarios en atención </w:t>
            </w:r>
            <w:r w:rsidR="008E0761" w:rsidRPr="00055B46">
              <w:rPr>
                <w:rFonts w:ascii="Montserrat" w:hAnsi="Montserrat" w:cs="Arial"/>
                <w:sz w:val="20"/>
                <w:szCs w:val="20"/>
              </w:rPr>
              <w:t>hospitalaria</w:t>
            </w:r>
            <w:r w:rsidRPr="00055B46">
              <w:rPr>
                <w:rFonts w:ascii="Montserrat" w:hAnsi="Montserrat" w:cs="Arial"/>
                <w:sz w:val="20"/>
                <w:szCs w:val="20"/>
              </w:rPr>
              <w:t xml:space="preserve"> encuestados</w:t>
            </w:r>
          </w:p>
          <w:p w14:paraId="7E1832F2" w14:textId="77777777" w:rsidR="00E81CF5" w:rsidRDefault="00E81CF5" w:rsidP="00D3108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1677C5B" w14:textId="77777777" w:rsidR="00855A4E" w:rsidRPr="00055B46" w:rsidRDefault="00855A4E" w:rsidP="00D310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055B46" w14:paraId="2E412189" w14:textId="77777777" w:rsidTr="00055B46">
        <w:trPr>
          <w:trHeight w:val="285"/>
        </w:trPr>
        <w:tc>
          <w:tcPr>
            <w:tcW w:w="5889" w:type="dxa"/>
            <w:gridSpan w:val="17"/>
          </w:tcPr>
          <w:p w14:paraId="62FD9F86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36DDCE24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763A1B95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317393" w:rsidRPr="00055B46" w14:paraId="087BC942" w14:textId="77777777" w:rsidTr="00055B46">
        <w:trPr>
          <w:trHeight w:val="2323"/>
        </w:trPr>
        <w:tc>
          <w:tcPr>
            <w:tcW w:w="5889" w:type="dxa"/>
            <w:gridSpan w:val="17"/>
          </w:tcPr>
          <w:p w14:paraId="13B048BC" w14:textId="77777777" w:rsidR="00AC51E9" w:rsidRPr="0075616B" w:rsidRDefault="00AC51E9" w:rsidP="0075616B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CE2FE1B" w14:textId="77777777" w:rsidR="002F0F3D" w:rsidRPr="0098429A" w:rsidRDefault="002F0F3D" w:rsidP="002F0F3D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5B3B3949" w14:textId="77777777" w:rsidR="00FB791E" w:rsidRPr="0075616B" w:rsidRDefault="00FB791E" w:rsidP="0075616B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A117985" w14:textId="77777777" w:rsidR="00FB791E" w:rsidRPr="0075616B" w:rsidRDefault="00FB791E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Cs/>
                <w:sz w:val="18"/>
                <w:szCs w:val="18"/>
              </w:rPr>
              <w:t xml:space="preserve">Porcentaje de usuarios con percepción de satisfacción </w:t>
            </w:r>
          </w:p>
          <w:p w14:paraId="5B6F882E" w14:textId="77777777" w:rsidR="00317393" w:rsidRPr="0075616B" w:rsidRDefault="00FB791E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Cs/>
                <w:sz w:val="18"/>
                <w:szCs w:val="18"/>
              </w:rPr>
              <w:t>de la calidad de la atención médica hospitalaria recibida superior a 80 puntos</w:t>
            </w:r>
            <w:r w:rsidR="009635EF" w:rsidRPr="0075616B">
              <w:rPr>
                <w:rFonts w:ascii="Montserrat" w:hAnsi="Montserrat" w:cs="Arial"/>
                <w:bCs/>
                <w:sz w:val="18"/>
                <w:szCs w:val="18"/>
              </w:rPr>
              <w:t xml:space="preserve"> porcentuales</w:t>
            </w:r>
          </w:p>
          <w:p w14:paraId="60C834A3" w14:textId="77777777" w:rsidR="00E81CF5" w:rsidRPr="0075616B" w:rsidRDefault="00150F0D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/Porcentaje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usuarios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_c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on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percepci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satisfacci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la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calidad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la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atenci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_me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dica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hospitalaria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recibida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superior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a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80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puntos</w:t>
            </w:r>
            <w:r w:rsidR="00CD5B2B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81CF5"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porcentuales</w:t>
            </w:r>
          </w:p>
          <w:p w14:paraId="7B982894" w14:textId="77777777" w:rsidR="00713311" w:rsidRPr="004F33DF" w:rsidRDefault="00713311" w:rsidP="0071331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759AE07" w14:textId="77777777" w:rsidR="00150F0D" w:rsidRPr="00713311" w:rsidRDefault="00713311" w:rsidP="00713311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66760A8C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597F8C0D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D2CBDD8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Usuario</w:t>
            </w:r>
          </w:p>
        </w:tc>
      </w:tr>
      <w:tr w:rsidR="00317393" w:rsidRPr="00055B46" w14:paraId="3AADEDB5" w14:textId="77777777" w:rsidTr="00055B46">
        <w:trPr>
          <w:trHeight w:val="272"/>
        </w:trPr>
        <w:tc>
          <w:tcPr>
            <w:tcW w:w="5889" w:type="dxa"/>
            <w:gridSpan w:val="17"/>
          </w:tcPr>
          <w:p w14:paraId="0FE4AEE3" w14:textId="77777777" w:rsidR="00AC51E9" w:rsidRPr="0075616B" w:rsidRDefault="00AC51E9" w:rsidP="0075616B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315FFFF" w14:textId="77777777" w:rsidR="002F0F3D" w:rsidRPr="0098429A" w:rsidRDefault="002F0F3D" w:rsidP="002F0F3D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0E0AC90F" w14:textId="77777777" w:rsidR="003D0BCD" w:rsidRPr="0075616B" w:rsidRDefault="00FB791E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Cs/>
                <w:sz w:val="18"/>
                <w:szCs w:val="18"/>
              </w:rPr>
              <w:t>Porcentaje de usuarios con percepción de</w:t>
            </w:r>
            <w:r w:rsidR="003D0BCD" w:rsidRPr="0075616B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Pr="0075616B">
              <w:rPr>
                <w:rFonts w:ascii="Montserrat" w:hAnsi="Montserrat" w:cs="Arial"/>
                <w:bCs/>
                <w:sz w:val="18"/>
                <w:szCs w:val="18"/>
              </w:rPr>
              <w:t>satisfacción</w:t>
            </w:r>
          </w:p>
          <w:p w14:paraId="4ECFFBBF" w14:textId="77777777" w:rsidR="00317393" w:rsidRPr="0075616B" w:rsidRDefault="00FB791E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Cs/>
                <w:sz w:val="18"/>
                <w:szCs w:val="18"/>
              </w:rPr>
              <w:t>de la calidad de la atención médica hospitalaria recibida superior a 80 puntos</w:t>
            </w:r>
            <w:r w:rsidR="009635EF" w:rsidRPr="0075616B">
              <w:rPr>
                <w:rFonts w:ascii="Montserrat" w:hAnsi="Montserrat" w:cs="Arial"/>
                <w:bCs/>
                <w:sz w:val="18"/>
                <w:szCs w:val="18"/>
              </w:rPr>
              <w:t xml:space="preserve"> porcentuales</w:t>
            </w:r>
          </w:p>
          <w:p w14:paraId="1BF9AA2D" w14:textId="77777777" w:rsidR="00CD5B2B" w:rsidRPr="0075616B" w:rsidRDefault="00CD5B2B" w:rsidP="0075616B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75616B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Pr="0075616B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https://ccinshae.gob.mx/DCPE/E023/Porcentaje_de_usuarios_con_percepcion_de_satisfaccion_de_la_calidad_de_la_atencion_medica_hospitalaria_recibida_superior_a_80_puntos_porcentuales</w:t>
            </w:r>
          </w:p>
          <w:p w14:paraId="54024761" w14:textId="77777777" w:rsidR="00713311" w:rsidRPr="004F33DF" w:rsidRDefault="00713311" w:rsidP="0071331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lastRenderedPageBreak/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76793591" w14:textId="77777777" w:rsidR="00E81CF5" w:rsidRPr="00713311" w:rsidRDefault="00713311" w:rsidP="00713311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2308FA02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2A6BDBCB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6DBD603" w14:textId="77777777" w:rsidR="00317393" w:rsidRPr="00055B46" w:rsidRDefault="00317393" w:rsidP="0031739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Usuario</w:t>
            </w:r>
          </w:p>
        </w:tc>
      </w:tr>
      <w:tr w:rsidR="00940525" w:rsidRPr="00055B46" w14:paraId="23BCBD40" w14:textId="77777777" w:rsidTr="00055B46">
        <w:trPr>
          <w:trHeight w:val="483"/>
        </w:trPr>
        <w:tc>
          <w:tcPr>
            <w:tcW w:w="5889" w:type="dxa"/>
            <w:gridSpan w:val="17"/>
          </w:tcPr>
          <w:p w14:paraId="3D851092" w14:textId="77777777" w:rsidR="00940525" w:rsidRPr="00055B46" w:rsidRDefault="00940525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34D98662" w14:textId="77777777" w:rsidR="00940525" w:rsidRPr="00055B46" w:rsidRDefault="00940525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  <w:r w:rsidR="005D4780" w:rsidRPr="00055B46">
              <w:rPr>
                <w:rFonts w:ascii="Montserrat" w:hAnsi="Montserrat" w:cs="Arial"/>
                <w:bCs/>
                <w:sz w:val="20"/>
                <w:szCs w:val="20"/>
              </w:rPr>
              <w:t xml:space="preserve"> (Cobertura del Programa)</w:t>
            </w:r>
          </w:p>
        </w:tc>
        <w:tc>
          <w:tcPr>
            <w:tcW w:w="236" w:type="dxa"/>
            <w:vMerge/>
          </w:tcPr>
          <w:p w14:paraId="1805332C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1A88E319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107CEDD5" w14:textId="77777777" w:rsidR="00940525" w:rsidRPr="00055B46" w:rsidRDefault="005D478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940525" w:rsidRPr="00055B46" w14:paraId="253FF7C1" w14:textId="77777777" w:rsidTr="00055B46">
        <w:trPr>
          <w:trHeight w:val="483"/>
        </w:trPr>
        <w:tc>
          <w:tcPr>
            <w:tcW w:w="5889" w:type="dxa"/>
            <w:gridSpan w:val="17"/>
          </w:tcPr>
          <w:p w14:paraId="1AB514EC" w14:textId="77777777" w:rsidR="00940525" w:rsidRPr="00055B46" w:rsidRDefault="00940525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2FF05EF4" w14:textId="77777777" w:rsidR="00940525" w:rsidRPr="00055B46" w:rsidRDefault="005D4780" w:rsidP="0075616B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3377797A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097C1810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78B3D003" w14:textId="77777777" w:rsidR="00940525" w:rsidRPr="00055B46" w:rsidRDefault="005870DF" w:rsidP="006257B4">
            <w:pPr>
              <w:rPr>
                <w:rFonts w:ascii="Montserrat" w:hAnsi="Montserrat" w:cs="Arial"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8D1A96">
              <w:rPr>
                <w:rFonts w:ascii="Montserrat" w:hAnsi="Montserrat" w:cs="Arial"/>
                <w:sz w:val="20"/>
                <w:szCs w:val="20"/>
                <w:highlight w:val="cyan"/>
              </w:rPr>
              <w:t>202</w:t>
            </w:r>
            <w:r w:rsidR="00D05618">
              <w:rPr>
                <w:rFonts w:ascii="Montserrat" w:hAnsi="Montserrat" w:cs="Arial"/>
                <w:sz w:val="20"/>
                <w:szCs w:val="20"/>
                <w:highlight w:val="cyan"/>
              </w:rPr>
              <w:t>7</w:t>
            </w:r>
            <w:r w:rsidR="00940525" w:rsidRPr="00055B46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940525" w:rsidRPr="00055B46" w14:paraId="6D21AE77" w14:textId="77777777" w:rsidTr="00055B46">
        <w:trPr>
          <w:trHeight w:val="274"/>
        </w:trPr>
        <w:tc>
          <w:tcPr>
            <w:tcW w:w="11482" w:type="dxa"/>
            <w:gridSpan w:val="25"/>
            <w:shd w:val="clear" w:color="auto" w:fill="C00000"/>
          </w:tcPr>
          <w:p w14:paraId="221079E9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940525" w:rsidRPr="00055B46" w14:paraId="77E85F94" w14:textId="77777777" w:rsidTr="00055B46">
        <w:trPr>
          <w:trHeight w:val="415"/>
        </w:trPr>
        <w:tc>
          <w:tcPr>
            <w:tcW w:w="3969" w:type="dxa"/>
            <w:gridSpan w:val="7"/>
          </w:tcPr>
          <w:p w14:paraId="402F0EBB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6854ED61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58" w:type="dxa"/>
            <w:gridSpan w:val="17"/>
          </w:tcPr>
          <w:p w14:paraId="1D238D17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940525" w:rsidRPr="00055B46" w14:paraId="0299D749" w14:textId="77777777" w:rsidTr="0075616B">
        <w:trPr>
          <w:trHeight w:val="58"/>
        </w:trPr>
        <w:tc>
          <w:tcPr>
            <w:tcW w:w="3969" w:type="dxa"/>
            <w:gridSpan w:val="7"/>
          </w:tcPr>
          <w:p w14:paraId="28A7A1C2" w14:textId="77777777" w:rsidR="00CD5B2B" w:rsidRPr="00055B46" w:rsidRDefault="00CD5B2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41F56605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58" w:type="dxa"/>
            <w:gridSpan w:val="17"/>
          </w:tcPr>
          <w:p w14:paraId="7E579FC9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055B46" w14:paraId="7E0CBC76" w14:textId="77777777" w:rsidTr="00055B46">
        <w:trPr>
          <w:trHeight w:val="274"/>
        </w:trPr>
        <w:tc>
          <w:tcPr>
            <w:tcW w:w="11482" w:type="dxa"/>
            <w:gridSpan w:val="25"/>
          </w:tcPr>
          <w:p w14:paraId="62E4C955" w14:textId="77777777" w:rsidR="00940525" w:rsidRPr="00055B46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940525" w:rsidRPr="00055B46" w14:paraId="7E77AAF9" w14:textId="77777777" w:rsidTr="00055B46">
        <w:trPr>
          <w:trHeight w:val="274"/>
        </w:trPr>
        <w:tc>
          <w:tcPr>
            <w:tcW w:w="11482" w:type="dxa"/>
            <w:gridSpan w:val="25"/>
          </w:tcPr>
          <w:p w14:paraId="49A6F201" w14:textId="77777777" w:rsidR="00CD5B2B" w:rsidRPr="00055B46" w:rsidRDefault="00CD5B2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249EE303" w14:textId="77777777" w:rsidR="00CD5B2B" w:rsidRPr="00055B46" w:rsidRDefault="00CD5B2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940525" w:rsidRPr="00055B46" w14:paraId="707E5B39" w14:textId="77777777" w:rsidTr="00055B46">
        <w:trPr>
          <w:trHeight w:val="274"/>
        </w:trPr>
        <w:tc>
          <w:tcPr>
            <w:tcW w:w="11482" w:type="dxa"/>
            <w:gridSpan w:val="25"/>
            <w:shd w:val="clear" w:color="auto" w:fill="C00000"/>
          </w:tcPr>
          <w:p w14:paraId="4FE71E33" w14:textId="77777777" w:rsidR="00940525" w:rsidRPr="00055B46" w:rsidRDefault="00940525" w:rsidP="0075616B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055B46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940525" w:rsidRPr="00A00078" w14:paraId="3EA9A295" w14:textId="77777777" w:rsidTr="00055B46">
        <w:trPr>
          <w:trHeight w:val="274"/>
        </w:trPr>
        <w:tc>
          <w:tcPr>
            <w:tcW w:w="11482" w:type="dxa"/>
            <w:gridSpan w:val="25"/>
          </w:tcPr>
          <w:p w14:paraId="3A7E8B99" w14:textId="77777777" w:rsidR="00940525" w:rsidRPr="0075616B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3BE4A05" w14:textId="77777777" w:rsidR="008D7D74" w:rsidRPr="0075616B" w:rsidRDefault="008D7D74" w:rsidP="0075616B">
            <w:pPr>
              <w:pStyle w:val="Prrafodelista"/>
              <w:numPr>
                <w:ilvl w:val="0"/>
                <w:numId w:val="6"/>
              </w:num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Las encuestas son las aplicadas a usuarios de las áreas de atención </w:t>
            </w:r>
            <w:r w:rsidR="00CB6581" w:rsidRPr="0075616B">
              <w:rPr>
                <w:rFonts w:ascii="Montserrat" w:hAnsi="Montserrat" w:cs="Arial"/>
                <w:bCs/>
                <w:sz w:val="20"/>
                <w:szCs w:val="20"/>
              </w:rPr>
              <w:t>hospitalaria</w:t>
            </w:r>
            <w:r w:rsidR="005D4A3D"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 y estarán determinadas conforme a la metodología que garantice un intervalo de confianza </w:t>
            </w:r>
            <w:r w:rsidR="00707975">
              <w:rPr>
                <w:rFonts w:ascii="Montserrat" w:hAnsi="Montserrat" w:cs="Arial"/>
                <w:bCs/>
                <w:sz w:val="20"/>
                <w:szCs w:val="20"/>
              </w:rPr>
              <w:t xml:space="preserve">igual o </w:t>
            </w:r>
            <w:r w:rsidR="005D4A3D" w:rsidRPr="0075616B">
              <w:rPr>
                <w:rFonts w:ascii="Montserrat" w:hAnsi="Montserrat" w:cs="Arial"/>
                <w:bCs/>
                <w:sz w:val="20"/>
                <w:szCs w:val="20"/>
              </w:rPr>
              <w:t>mayo</w:t>
            </w:r>
            <w:r w:rsidR="00707975">
              <w:rPr>
                <w:rFonts w:ascii="Montserrat" w:hAnsi="Montserrat" w:cs="Arial"/>
                <w:bCs/>
                <w:sz w:val="20"/>
                <w:szCs w:val="20"/>
              </w:rPr>
              <w:t>r</w:t>
            </w:r>
            <w:r w:rsidR="005D4A3D"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 a 95 %</w:t>
            </w:r>
          </w:p>
          <w:p w14:paraId="562A68B3" w14:textId="77777777" w:rsidR="00D97F46" w:rsidRPr="00A00078" w:rsidRDefault="00D97F46" w:rsidP="006257B4">
            <w:p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3FF6E6C" w14:textId="77777777" w:rsidR="00AC51E9" w:rsidRPr="0075616B" w:rsidRDefault="00D97F46" w:rsidP="0075616B">
            <w:pPr>
              <w:pStyle w:val="Prrafodelista"/>
              <w:numPr>
                <w:ilvl w:val="0"/>
                <w:numId w:val="6"/>
              </w:num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Los registros institucionales de las encuestas aplicadas deberán incluir la metodología </w:t>
            </w:r>
            <w:r w:rsidR="006257B4" w:rsidRPr="0075616B">
              <w:rPr>
                <w:rFonts w:ascii="Montserrat" w:hAnsi="Montserrat" w:cs="Arial"/>
                <w:bCs/>
                <w:sz w:val="20"/>
                <w:szCs w:val="20"/>
              </w:rPr>
              <w:t>estadística</w:t>
            </w:r>
            <w:r w:rsidRPr="0075616B">
              <w:rPr>
                <w:rFonts w:ascii="Montserrat" w:hAnsi="Montserrat" w:cs="Arial"/>
                <w:bCs/>
                <w:sz w:val="20"/>
                <w:szCs w:val="20"/>
              </w:rPr>
              <w:t xml:space="preserve"> utilizada para determinar la validez de la muestra poblacional</w:t>
            </w:r>
            <w:r w:rsidR="005D4A3D" w:rsidRPr="0075616B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  <w:p w14:paraId="693C0571" w14:textId="77777777" w:rsidR="00E81CF5" w:rsidRPr="0075616B" w:rsidRDefault="00E81CF5" w:rsidP="003636A2">
            <w:p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0CCF0280" w14:textId="77777777" w:rsidR="00E92259" w:rsidRPr="00055B46" w:rsidRDefault="00E92259" w:rsidP="004E399E">
      <w:pPr>
        <w:rPr>
          <w:rFonts w:ascii="Montserrat" w:hAnsi="Montserrat"/>
        </w:rPr>
      </w:pPr>
    </w:p>
    <w:sectPr w:rsidR="00E92259" w:rsidRPr="00055B46" w:rsidSect="005870DF">
      <w:pgSz w:w="12240" w:h="15840"/>
      <w:pgMar w:top="107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BF"/>
    <w:multiLevelType w:val="hybridMultilevel"/>
    <w:tmpl w:val="4DFC520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E5E31"/>
    <w:multiLevelType w:val="hybridMultilevel"/>
    <w:tmpl w:val="4DFC520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00821">
    <w:abstractNumId w:val="3"/>
  </w:num>
  <w:num w:numId="2" w16cid:durableId="391778853">
    <w:abstractNumId w:val="5"/>
  </w:num>
  <w:num w:numId="3" w16cid:durableId="1856066363">
    <w:abstractNumId w:val="0"/>
  </w:num>
  <w:num w:numId="4" w16cid:durableId="2131126131">
    <w:abstractNumId w:val="2"/>
  </w:num>
  <w:num w:numId="5" w16cid:durableId="718437850">
    <w:abstractNumId w:val="1"/>
  </w:num>
  <w:num w:numId="6" w16cid:durableId="133831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1C13"/>
    <w:rsid w:val="000036BD"/>
    <w:rsid w:val="00003D29"/>
    <w:rsid w:val="00004636"/>
    <w:rsid w:val="00004C0E"/>
    <w:rsid w:val="000054BA"/>
    <w:rsid w:val="000131F9"/>
    <w:rsid w:val="00013B64"/>
    <w:rsid w:val="00013FE4"/>
    <w:rsid w:val="00014114"/>
    <w:rsid w:val="00014DFC"/>
    <w:rsid w:val="0002007E"/>
    <w:rsid w:val="0002143B"/>
    <w:rsid w:val="0002557E"/>
    <w:rsid w:val="000279B2"/>
    <w:rsid w:val="00027A91"/>
    <w:rsid w:val="00027CF4"/>
    <w:rsid w:val="00032147"/>
    <w:rsid w:val="00032C6F"/>
    <w:rsid w:val="000372AE"/>
    <w:rsid w:val="00040750"/>
    <w:rsid w:val="000408FC"/>
    <w:rsid w:val="00045137"/>
    <w:rsid w:val="0004563A"/>
    <w:rsid w:val="00045EEE"/>
    <w:rsid w:val="00055B46"/>
    <w:rsid w:val="00056194"/>
    <w:rsid w:val="000568CF"/>
    <w:rsid w:val="00061691"/>
    <w:rsid w:val="00063B95"/>
    <w:rsid w:val="00065B24"/>
    <w:rsid w:val="0007028B"/>
    <w:rsid w:val="000708E3"/>
    <w:rsid w:val="0007663E"/>
    <w:rsid w:val="00076D91"/>
    <w:rsid w:val="00082BE4"/>
    <w:rsid w:val="00083114"/>
    <w:rsid w:val="00086D64"/>
    <w:rsid w:val="00086F89"/>
    <w:rsid w:val="00087DFA"/>
    <w:rsid w:val="00091EC6"/>
    <w:rsid w:val="000950E6"/>
    <w:rsid w:val="000A0544"/>
    <w:rsid w:val="000A0702"/>
    <w:rsid w:val="000A24E1"/>
    <w:rsid w:val="000B009A"/>
    <w:rsid w:val="000B0F78"/>
    <w:rsid w:val="000B4337"/>
    <w:rsid w:val="000D0CA2"/>
    <w:rsid w:val="000D13B6"/>
    <w:rsid w:val="000D21D8"/>
    <w:rsid w:val="000D3ED4"/>
    <w:rsid w:val="000D4D17"/>
    <w:rsid w:val="000D7076"/>
    <w:rsid w:val="000E3CC9"/>
    <w:rsid w:val="000E7ADE"/>
    <w:rsid w:val="000F55CE"/>
    <w:rsid w:val="00100AE9"/>
    <w:rsid w:val="00101BCD"/>
    <w:rsid w:val="0010542B"/>
    <w:rsid w:val="00125E79"/>
    <w:rsid w:val="0012611A"/>
    <w:rsid w:val="00134A05"/>
    <w:rsid w:val="00144097"/>
    <w:rsid w:val="00144B70"/>
    <w:rsid w:val="0014722D"/>
    <w:rsid w:val="00150F0D"/>
    <w:rsid w:val="001540A6"/>
    <w:rsid w:val="001543BA"/>
    <w:rsid w:val="00154D5D"/>
    <w:rsid w:val="00161022"/>
    <w:rsid w:val="001649D5"/>
    <w:rsid w:val="00165EDF"/>
    <w:rsid w:val="00171218"/>
    <w:rsid w:val="00171537"/>
    <w:rsid w:val="00173BAC"/>
    <w:rsid w:val="001750ED"/>
    <w:rsid w:val="001776AB"/>
    <w:rsid w:val="0017781A"/>
    <w:rsid w:val="00177917"/>
    <w:rsid w:val="00180235"/>
    <w:rsid w:val="001A18C7"/>
    <w:rsid w:val="001B02EE"/>
    <w:rsid w:val="001B43D0"/>
    <w:rsid w:val="001B4CA9"/>
    <w:rsid w:val="001C1C58"/>
    <w:rsid w:val="001C2315"/>
    <w:rsid w:val="001C78A9"/>
    <w:rsid w:val="001D02DB"/>
    <w:rsid w:val="001D103F"/>
    <w:rsid w:val="001D1B0E"/>
    <w:rsid w:val="001D42E4"/>
    <w:rsid w:val="001D73C0"/>
    <w:rsid w:val="001E0819"/>
    <w:rsid w:val="001E29D2"/>
    <w:rsid w:val="001E3B90"/>
    <w:rsid w:val="001E5FC8"/>
    <w:rsid w:val="001F17C8"/>
    <w:rsid w:val="001F2CF8"/>
    <w:rsid w:val="00202028"/>
    <w:rsid w:val="00213521"/>
    <w:rsid w:val="00214256"/>
    <w:rsid w:val="00215E4E"/>
    <w:rsid w:val="002173FA"/>
    <w:rsid w:val="00221EB1"/>
    <w:rsid w:val="002273E7"/>
    <w:rsid w:val="00227A93"/>
    <w:rsid w:val="00231092"/>
    <w:rsid w:val="00232F6F"/>
    <w:rsid w:val="00236244"/>
    <w:rsid w:val="002370B6"/>
    <w:rsid w:val="00241EBA"/>
    <w:rsid w:val="002421BF"/>
    <w:rsid w:val="002425A7"/>
    <w:rsid w:val="00243286"/>
    <w:rsid w:val="00247038"/>
    <w:rsid w:val="00256A6C"/>
    <w:rsid w:val="002571DF"/>
    <w:rsid w:val="00262170"/>
    <w:rsid w:val="00264DD5"/>
    <w:rsid w:val="0026713E"/>
    <w:rsid w:val="00270110"/>
    <w:rsid w:val="00271A9A"/>
    <w:rsid w:val="00271B4D"/>
    <w:rsid w:val="00272E74"/>
    <w:rsid w:val="002763B1"/>
    <w:rsid w:val="0028088C"/>
    <w:rsid w:val="00284C01"/>
    <w:rsid w:val="00290AFC"/>
    <w:rsid w:val="002A199E"/>
    <w:rsid w:val="002A7254"/>
    <w:rsid w:val="002B0C0B"/>
    <w:rsid w:val="002B1767"/>
    <w:rsid w:val="002B5933"/>
    <w:rsid w:val="002B78CF"/>
    <w:rsid w:val="002C102A"/>
    <w:rsid w:val="002C2B20"/>
    <w:rsid w:val="002D1DB8"/>
    <w:rsid w:val="002E0C63"/>
    <w:rsid w:val="002E5808"/>
    <w:rsid w:val="002E5CAC"/>
    <w:rsid w:val="002E5F99"/>
    <w:rsid w:val="002F0F3D"/>
    <w:rsid w:val="002F28E6"/>
    <w:rsid w:val="002F37BA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7393"/>
    <w:rsid w:val="00337FA8"/>
    <w:rsid w:val="00340181"/>
    <w:rsid w:val="003402DA"/>
    <w:rsid w:val="00342912"/>
    <w:rsid w:val="0034543F"/>
    <w:rsid w:val="00345B2D"/>
    <w:rsid w:val="00353BAB"/>
    <w:rsid w:val="00360946"/>
    <w:rsid w:val="00360965"/>
    <w:rsid w:val="003626C5"/>
    <w:rsid w:val="003636A2"/>
    <w:rsid w:val="00364109"/>
    <w:rsid w:val="003677F6"/>
    <w:rsid w:val="00374594"/>
    <w:rsid w:val="003762D1"/>
    <w:rsid w:val="00377A3E"/>
    <w:rsid w:val="00377CFE"/>
    <w:rsid w:val="003809B8"/>
    <w:rsid w:val="0038130A"/>
    <w:rsid w:val="00383B5E"/>
    <w:rsid w:val="00384C8A"/>
    <w:rsid w:val="00392A7D"/>
    <w:rsid w:val="003A3330"/>
    <w:rsid w:val="003A33C5"/>
    <w:rsid w:val="003B04A2"/>
    <w:rsid w:val="003B1876"/>
    <w:rsid w:val="003B2AFA"/>
    <w:rsid w:val="003B304E"/>
    <w:rsid w:val="003B512A"/>
    <w:rsid w:val="003B55F2"/>
    <w:rsid w:val="003B7B79"/>
    <w:rsid w:val="003C33FD"/>
    <w:rsid w:val="003C3BCB"/>
    <w:rsid w:val="003C4381"/>
    <w:rsid w:val="003C4452"/>
    <w:rsid w:val="003C5519"/>
    <w:rsid w:val="003C7FC3"/>
    <w:rsid w:val="003D0BCD"/>
    <w:rsid w:val="003D1508"/>
    <w:rsid w:val="003D20D0"/>
    <w:rsid w:val="003D7E92"/>
    <w:rsid w:val="003E09A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61F4"/>
    <w:rsid w:val="003F7343"/>
    <w:rsid w:val="004016CA"/>
    <w:rsid w:val="00404159"/>
    <w:rsid w:val="004069EA"/>
    <w:rsid w:val="00407C34"/>
    <w:rsid w:val="004216B0"/>
    <w:rsid w:val="00422CF6"/>
    <w:rsid w:val="0042356D"/>
    <w:rsid w:val="00425B45"/>
    <w:rsid w:val="0042747C"/>
    <w:rsid w:val="00427840"/>
    <w:rsid w:val="00430E8A"/>
    <w:rsid w:val="00432774"/>
    <w:rsid w:val="00433007"/>
    <w:rsid w:val="004335D0"/>
    <w:rsid w:val="00433AEA"/>
    <w:rsid w:val="00433EA6"/>
    <w:rsid w:val="004365B3"/>
    <w:rsid w:val="00437095"/>
    <w:rsid w:val="004420AD"/>
    <w:rsid w:val="00443B8D"/>
    <w:rsid w:val="004478B6"/>
    <w:rsid w:val="00447A7D"/>
    <w:rsid w:val="00451444"/>
    <w:rsid w:val="004516E7"/>
    <w:rsid w:val="00455A1E"/>
    <w:rsid w:val="00455F8D"/>
    <w:rsid w:val="0045632E"/>
    <w:rsid w:val="004579AD"/>
    <w:rsid w:val="00462265"/>
    <w:rsid w:val="00463D8C"/>
    <w:rsid w:val="00467CBF"/>
    <w:rsid w:val="00472ECB"/>
    <w:rsid w:val="0047580B"/>
    <w:rsid w:val="0047608C"/>
    <w:rsid w:val="004819FB"/>
    <w:rsid w:val="00485D1F"/>
    <w:rsid w:val="00485E51"/>
    <w:rsid w:val="004860BE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2ACB"/>
    <w:rsid w:val="004D57B0"/>
    <w:rsid w:val="004D7B26"/>
    <w:rsid w:val="004E184C"/>
    <w:rsid w:val="004E399E"/>
    <w:rsid w:val="004E5B50"/>
    <w:rsid w:val="004F4C27"/>
    <w:rsid w:val="005016E1"/>
    <w:rsid w:val="0050580F"/>
    <w:rsid w:val="00507431"/>
    <w:rsid w:val="00507DF3"/>
    <w:rsid w:val="0052195B"/>
    <w:rsid w:val="00523DAB"/>
    <w:rsid w:val="0053138B"/>
    <w:rsid w:val="00532B2A"/>
    <w:rsid w:val="005339AF"/>
    <w:rsid w:val="00533BC4"/>
    <w:rsid w:val="00535617"/>
    <w:rsid w:val="00536E5B"/>
    <w:rsid w:val="005411EB"/>
    <w:rsid w:val="00541E9A"/>
    <w:rsid w:val="00542B83"/>
    <w:rsid w:val="005431FF"/>
    <w:rsid w:val="00543204"/>
    <w:rsid w:val="00550073"/>
    <w:rsid w:val="00551C99"/>
    <w:rsid w:val="00555F07"/>
    <w:rsid w:val="005622EA"/>
    <w:rsid w:val="00571F91"/>
    <w:rsid w:val="005742BD"/>
    <w:rsid w:val="0058105F"/>
    <w:rsid w:val="005837BE"/>
    <w:rsid w:val="00584B30"/>
    <w:rsid w:val="005870DF"/>
    <w:rsid w:val="00590FAF"/>
    <w:rsid w:val="005910EE"/>
    <w:rsid w:val="00591132"/>
    <w:rsid w:val="00593811"/>
    <w:rsid w:val="005944CA"/>
    <w:rsid w:val="005A32B5"/>
    <w:rsid w:val="005A4F4C"/>
    <w:rsid w:val="005B093C"/>
    <w:rsid w:val="005B15DD"/>
    <w:rsid w:val="005B2796"/>
    <w:rsid w:val="005B2BC6"/>
    <w:rsid w:val="005B6EB7"/>
    <w:rsid w:val="005C0D48"/>
    <w:rsid w:val="005C3711"/>
    <w:rsid w:val="005C6150"/>
    <w:rsid w:val="005C65AB"/>
    <w:rsid w:val="005D4780"/>
    <w:rsid w:val="005D4A3D"/>
    <w:rsid w:val="005D5390"/>
    <w:rsid w:val="005E0882"/>
    <w:rsid w:val="005E1DD1"/>
    <w:rsid w:val="005E3A24"/>
    <w:rsid w:val="005E4A29"/>
    <w:rsid w:val="005E5F1B"/>
    <w:rsid w:val="005E6741"/>
    <w:rsid w:val="005E6DE5"/>
    <w:rsid w:val="005F0490"/>
    <w:rsid w:val="005F0C81"/>
    <w:rsid w:val="005F4687"/>
    <w:rsid w:val="006017CA"/>
    <w:rsid w:val="00605E7F"/>
    <w:rsid w:val="006109E5"/>
    <w:rsid w:val="006148FF"/>
    <w:rsid w:val="00615E49"/>
    <w:rsid w:val="0062536F"/>
    <w:rsid w:val="006257B4"/>
    <w:rsid w:val="00630D84"/>
    <w:rsid w:val="00631EF9"/>
    <w:rsid w:val="00641320"/>
    <w:rsid w:val="00641A9F"/>
    <w:rsid w:val="00646A52"/>
    <w:rsid w:val="006471EE"/>
    <w:rsid w:val="00647733"/>
    <w:rsid w:val="00647B16"/>
    <w:rsid w:val="00647C4D"/>
    <w:rsid w:val="00650E29"/>
    <w:rsid w:val="006552FC"/>
    <w:rsid w:val="00655C69"/>
    <w:rsid w:val="0067504F"/>
    <w:rsid w:val="0067711F"/>
    <w:rsid w:val="00681475"/>
    <w:rsid w:val="006825C3"/>
    <w:rsid w:val="006828DE"/>
    <w:rsid w:val="00690F09"/>
    <w:rsid w:val="006942E2"/>
    <w:rsid w:val="00694E77"/>
    <w:rsid w:val="006962E7"/>
    <w:rsid w:val="00696597"/>
    <w:rsid w:val="006A2596"/>
    <w:rsid w:val="006A32EF"/>
    <w:rsid w:val="006A3587"/>
    <w:rsid w:val="006A4173"/>
    <w:rsid w:val="006A65AE"/>
    <w:rsid w:val="006A6794"/>
    <w:rsid w:val="006A6D51"/>
    <w:rsid w:val="006A77C7"/>
    <w:rsid w:val="006A7B7C"/>
    <w:rsid w:val="006B108B"/>
    <w:rsid w:val="006B199F"/>
    <w:rsid w:val="006B3581"/>
    <w:rsid w:val="006C075C"/>
    <w:rsid w:val="006C4FCA"/>
    <w:rsid w:val="006C5997"/>
    <w:rsid w:val="006C5D67"/>
    <w:rsid w:val="006C6008"/>
    <w:rsid w:val="006D0643"/>
    <w:rsid w:val="006E023E"/>
    <w:rsid w:val="006E74AD"/>
    <w:rsid w:val="006F0C88"/>
    <w:rsid w:val="006F343D"/>
    <w:rsid w:val="00707975"/>
    <w:rsid w:val="007102F0"/>
    <w:rsid w:val="00712663"/>
    <w:rsid w:val="00713311"/>
    <w:rsid w:val="00720F07"/>
    <w:rsid w:val="007246DD"/>
    <w:rsid w:val="007251BC"/>
    <w:rsid w:val="00727A47"/>
    <w:rsid w:val="00737533"/>
    <w:rsid w:val="007401D3"/>
    <w:rsid w:val="00742DF7"/>
    <w:rsid w:val="0075454A"/>
    <w:rsid w:val="00755FEF"/>
    <w:rsid w:val="0075616B"/>
    <w:rsid w:val="00756237"/>
    <w:rsid w:val="00760043"/>
    <w:rsid w:val="00760ADC"/>
    <w:rsid w:val="00763562"/>
    <w:rsid w:val="007933FD"/>
    <w:rsid w:val="007A01B3"/>
    <w:rsid w:val="007C13B1"/>
    <w:rsid w:val="007C201C"/>
    <w:rsid w:val="007E2258"/>
    <w:rsid w:val="007E4069"/>
    <w:rsid w:val="007E4BAB"/>
    <w:rsid w:val="007E5837"/>
    <w:rsid w:val="007F0C2B"/>
    <w:rsid w:val="007F269D"/>
    <w:rsid w:val="007F37F7"/>
    <w:rsid w:val="007F5A60"/>
    <w:rsid w:val="00802BAE"/>
    <w:rsid w:val="00804317"/>
    <w:rsid w:val="00812545"/>
    <w:rsid w:val="008145DA"/>
    <w:rsid w:val="00814814"/>
    <w:rsid w:val="0081640E"/>
    <w:rsid w:val="008207C0"/>
    <w:rsid w:val="00821921"/>
    <w:rsid w:val="00821B5E"/>
    <w:rsid w:val="00823181"/>
    <w:rsid w:val="00824C38"/>
    <w:rsid w:val="008270D4"/>
    <w:rsid w:val="00827231"/>
    <w:rsid w:val="00832452"/>
    <w:rsid w:val="008325CB"/>
    <w:rsid w:val="00832D2D"/>
    <w:rsid w:val="00845DC8"/>
    <w:rsid w:val="00846CD0"/>
    <w:rsid w:val="0085068E"/>
    <w:rsid w:val="00855A4E"/>
    <w:rsid w:val="00856763"/>
    <w:rsid w:val="0086140F"/>
    <w:rsid w:val="008614CC"/>
    <w:rsid w:val="00861DF7"/>
    <w:rsid w:val="00864864"/>
    <w:rsid w:val="00866925"/>
    <w:rsid w:val="00871FFA"/>
    <w:rsid w:val="00872C7A"/>
    <w:rsid w:val="00874293"/>
    <w:rsid w:val="00874FFC"/>
    <w:rsid w:val="00876F0F"/>
    <w:rsid w:val="008802A5"/>
    <w:rsid w:val="00881E70"/>
    <w:rsid w:val="0089208C"/>
    <w:rsid w:val="008957CD"/>
    <w:rsid w:val="00896A95"/>
    <w:rsid w:val="00896F72"/>
    <w:rsid w:val="008978F5"/>
    <w:rsid w:val="008A0068"/>
    <w:rsid w:val="008A0F60"/>
    <w:rsid w:val="008A4E1D"/>
    <w:rsid w:val="008B226C"/>
    <w:rsid w:val="008B68FF"/>
    <w:rsid w:val="008C2E7B"/>
    <w:rsid w:val="008C5E89"/>
    <w:rsid w:val="008C6686"/>
    <w:rsid w:val="008D1A96"/>
    <w:rsid w:val="008D7D74"/>
    <w:rsid w:val="008E0761"/>
    <w:rsid w:val="008E5635"/>
    <w:rsid w:val="008E5708"/>
    <w:rsid w:val="008E5A0B"/>
    <w:rsid w:val="008E621A"/>
    <w:rsid w:val="008E69F5"/>
    <w:rsid w:val="008E7EAD"/>
    <w:rsid w:val="008F00EE"/>
    <w:rsid w:val="008F3947"/>
    <w:rsid w:val="008F5FDF"/>
    <w:rsid w:val="008F7392"/>
    <w:rsid w:val="008F7DEA"/>
    <w:rsid w:val="00901021"/>
    <w:rsid w:val="009023A5"/>
    <w:rsid w:val="0090351D"/>
    <w:rsid w:val="009100B8"/>
    <w:rsid w:val="00910FA2"/>
    <w:rsid w:val="00911057"/>
    <w:rsid w:val="009121DB"/>
    <w:rsid w:val="009134F1"/>
    <w:rsid w:val="0092750D"/>
    <w:rsid w:val="00927A2F"/>
    <w:rsid w:val="00927E1F"/>
    <w:rsid w:val="00934A29"/>
    <w:rsid w:val="009359D7"/>
    <w:rsid w:val="00935FBB"/>
    <w:rsid w:val="009360B2"/>
    <w:rsid w:val="0093624C"/>
    <w:rsid w:val="00936511"/>
    <w:rsid w:val="00940525"/>
    <w:rsid w:val="009436C7"/>
    <w:rsid w:val="00943C5B"/>
    <w:rsid w:val="009441CA"/>
    <w:rsid w:val="00947ADF"/>
    <w:rsid w:val="00953CAF"/>
    <w:rsid w:val="00955FE2"/>
    <w:rsid w:val="00957957"/>
    <w:rsid w:val="009635EF"/>
    <w:rsid w:val="00966780"/>
    <w:rsid w:val="00967CCF"/>
    <w:rsid w:val="00970073"/>
    <w:rsid w:val="009711A4"/>
    <w:rsid w:val="00971822"/>
    <w:rsid w:val="00973CE3"/>
    <w:rsid w:val="00981316"/>
    <w:rsid w:val="0098154A"/>
    <w:rsid w:val="009831C8"/>
    <w:rsid w:val="00984AAE"/>
    <w:rsid w:val="009905FC"/>
    <w:rsid w:val="00991C23"/>
    <w:rsid w:val="00996DCB"/>
    <w:rsid w:val="009A5742"/>
    <w:rsid w:val="009A62CC"/>
    <w:rsid w:val="009A67A0"/>
    <w:rsid w:val="009A6DAF"/>
    <w:rsid w:val="009B06CD"/>
    <w:rsid w:val="009C0412"/>
    <w:rsid w:val="009C56D2"/>
    <w:rsid w:val="009C5C2D"/>
    <w:rsid w:val="009C6062"/>
    <w:rsid w:val="009C775E"/>
    <w:rsid w:val="009D1ED8"/>
    <w:rsid w:val="009D4667"/>
    <w:rsid w:val="009D73C1"/>
    <w:rsid w:val="009E09C4"/>
    <w:rsid w:val="009E1033"/>
    <w:rsid w:val="009E54C0"/>
    <w:rsid w:val="009E752E"/>
    <w:rsid w:val="009F3DC9"/>
    <w:rsid w:val="009F3FC1"/>
    <w:rsid w:val="009F607E"/>
    <w:rsid w:val="009F7EE4"/>
    <w:rsid w:val="00A00078"/>
    <w:rsid w:val="00A01C62"/>
    <w:rsid w:val="00A02C2E"/>
    <w:rsid w:val="00A035E8"/>
    <w:rsid w:val="00A045FB"/>
    <w:rsid w:val="00A07FF0"/>
    <w:rsid w:val="00A1033B"/>
    <w:rsid w:val="00A12983"/>
    <w:rsid w:val="00A148F6"/>
    <w:rsid w:val="00A23FBF"/>
    <w:rsid w:val="00A25B4C"/>
    <w:rsid w:val="00A325D4"/>
    <w:rsid w:val="00A32E6B"/>
    <w:rsid w:val="00A3463A"/>
    <w:rsid w:val="00A408EC"/>
    <w:rsid w:val="00A416A3"/>
    <w:rsid w:val="00A4239C"/>
    <w:rsid w:val="00A46E08"/>
    <w:rsid w:val="00A512C7"/>
    <w:rsid w:val="00A514A6"/>
    <w:rsid w:val="00A55753"/>
    <w:rsid w:val="00A67899"/>
    <w:rsid w:val="00A705B7"/>
    <w:rsid w:val="00A711E0"/>
    <w:rsid w:val="00A76209"/>
    <w:rsid w:val="00A76614"/>
    <w:rsid w:val="00A77D7E"/>
    <w:rsid w:val="00A80AF2"/>
    <w:rsid w:val="00A821B9"/>
    <w:rsid w:val="00A85073"/>
    <w:rsid w:val="00A86270"/>
    <w:rsid w:val="00A87B2D"/>
    <w:rsid w:val="00A90D65"/>
    <w:rsid w:val="00A93141"/>
    <w:rsid w:val="00A94AFF"/>
    <w:rsid w:val="00A978AF"/>
    <w:rsid w:val="00AA05A4"/>
    <w:rsid w:val="00AA60C2"/>
    <w:rsid w:val="00AA62F3"/>
    <w:rsid w:val="00AA719A"/>
    <w:rsid w:val="00AB5ACC"/>
    <w:rsid w:val="00AC07EF"/>
    <w:rsid w:val="00AC2F2C"/>
    <w:rsid w:val="00AC367E"/>
    <w:rsid w:val="00AC51E9"/>
    <w:rsid w:val="00AC6F3B"/>
    <w:rsid w:val="00AC78D1"/>
    <w:rsid w:val="00AC7CBB"/>
    <w:rsid w:val="00AD1394"/>
    <w:rsid w:val="00AD2FC3"/>
    <w:rsid w:val="00AD56AB"/>
    <w:rsid w:val="00AD5EF4"/>
    <w:rsid w:val="00AE19E3"/>
    <w:rsid w:val="00AE3FB0"/>
    <w:rsid w:val="00AE464F"/>
    <w:rsid w:val="00AE6840"/>
    <w:rsid w:val="00AE747A"/>
    <w:rsid w:val="00AE7E73"/>
    <w:rsid w:val="00AE7E7A"/>
    <w:rsid w:val="00AF201D"/>
    <w:rsid w:val="00AF56A4"/>
    <w:rsid w:val="00B01064"/>
    <w:rsid w:val="00B02CA7"/>
    <w:rsid w:val="00B04D09"/>
    <w:rsid w:val="00B0743E"/>
    <w:rsid w:val="00B07E7B"/>
    <w:rsid w:val="00B1583E"/>
    <w:rsid w:val="00B2288B"/>
    <w:rsid w:val="00B25159"/>
    <w:rsid w:val="00B30307"/>
    <w:rsid w:val="00B42541"/>
    <w:rsid w:val="00B436FE"/>
    <w:rsid w:val="00B45523"/>
    <w:rsid w:val="00B45CBF"/>
    <w:rsid w:val="00B52498"/>
    <w:rsid w:val="00B53008"/>
    <w:rsid w:val="00B54A35"/>
    <w:rsid w:val="00B54E71"/>
    <w:rsid w:val="00B561B5"/>
    <w:rsid w:val="00B6767E"/>
    <w:rsid w:val="00B708AF"/>
    <w:rsid w:val="00B71E02"/>
    <w:rsid w:val="00B71F22"/>
    <w:rsid w:val="00B7381A"/>
    <w:rsid w:val="00B7538D"/>
    <w:rsid w:val="00B76586"/>
    <w:rsid w:val="00B80F2A"/>
    <w:rsid w:val="00B82EDE"/>
    <w:rsid w:val="00B83A2A"/>
    <w:rsid w:val="00B83D07"/>
    <w:rsid w:val="00B91B4B"/>
    <w:rsid w:val="00BA0486"/>
    <w:rsid w:val="00BA2BF8"/>
    <w:rsid w:val="00BA33AF"/>
    <w:rsid w:val="00BA5F91"/>
    <w:rsid w:val="00BB2AE6"/>
    <w:rsid w:val="00BB4F4A"/>
    <w:rsid w:val="00BB5212"/>
    <w:rsid w:val="00BB669B"/>
    <w:rsid w:val="00BC143E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856"/>
    <w:rsid w:val="00BF48A4"/>
    <w:rsid w:val="00BF5997"/>
    <w:rsid w:val="00BF5E21"/>
    <w:rsid w:val="00BF6117"/>
    <w:rsid w:val="00C00FCA"/>
    <w:rsid w:val="00C055FC"/>
    <w:rsid w:val="00C10CB9"/>
    <w:rsid w:val="00C30335"/>
    <w:rsid w:val="00C30A77"/>
    <w:rsid w:val="00C33CEA"/>
    <w:rsid w:val="00C36260"/>
    <w:rsid w:val="00C425C1"/>
    <w:rsid w:val="00C46AC6"/>
    <w:rsid w:val="00C46B97"/>
    <w:rsid w:val="00C5363F"/>
    <w:rsid w:val="00C54679"/>
    <w:rsid w:val="00C554FB"/>
    <w:rsid w:val="00C563CA"/>
    <w:rsid w:val="00C56465"/>
    <w:rsid w:val="00C61694"/>
    <w:rsid w:val="00C61807"/>
    <w:rsid w:val="00C642C2"/>
    <w:rsid w:val="00C71159"/>
    <w:rsid w:val="00C75DE1"/>
    <w:rsid w:val="00C80BF4"/>
    <w:rsid w:val="00C824A4"/>
    <w:rsid w:val="00C905ED"/>
    <w:rsid w:val="00C91434"/>
    <w:rsid w:val="00C92082"/>
    <w:rsid w:val="00C92264"/>
    <w:rsid w:val="00C9487D"/>
    <w:rsid w:val="00C95C47"/>
    <w:rsid w:val="00CA17EE"/>
    <w:rsid w:val="00CA1B8C"/>
    <w:rsid w:val="00CA33B3"/>
    <w:rsid w:val="00CB3680"/>
    <w:rsid w:val="00CB6555"/>
    <w:rsid w:val="00CB6581"/>
    <w:rsid w:val="00CC116B"/>
    <w:rsid w:val="00CC34E6"/>
    <w:rsid w:val="00CC4133"/>
    <w:rsid w:val="00CC4E7F"/>
    <w:rsid w:val="00CC5086"/>
    <w:rsid w:val="00CC5C2E"/>
    <w:rsid w:val="00CC5F22"/>
    <w:rsid w:val="00CD2EF2"/>
    <w:rsid w:val="00CD4303"/>
    <w:rsid w:val="00CD50B9"/>
    <w:rsid w:val="00CD51B9"/>
    <w:rsid w:val="00CD5B2B"/>
    <w:rsid w:val="00CF4CD4"/>
    <w:rsid w:val="00D01A6E"/>
    <w:rsid w:val="00D04B04"/>
    <w:rsid w:val="00D04E05"/>
    <w:rsid w:val="00D05618"/>
    <w:rsid w:val="00D07142"/>
    <w:rsid w:val="00D076A7"/>
    <w:rsid w:val="00D1030F"/>
    <w:rsid w:val="00D11B10"/>
    <w:rsid w:val="00D11D66"/>
    <w:rsid w:val="00D1406F"/>
    <w:rsid w:val="00D20A8B"/>
    <w:rsid w:val="00D27D63"/>
    <w:rsid w:val="00D3108C"/>
    <w:rsid w:val="00D31EA3"/>
    <w:rsid w:val="00D32823"/>
    <w:rsid w:val="00D34012"/>
    <w:rsid w:val="00D35D53"/>
    <w:rsid w:val="00D36E16"/>
    <w:rsid w:val="00D409DD"/>
    <w:rsid w:val="00D43555"/>
    <w:rsid w:val="00D506DA"/>
    <w:rsid w:val="00D5103F"/>
    <w:rsid w:val="00D5284F"/>
    <w:rsid w:val="00D52B35"/>
    <w:rsid w:val="00D5496E"/>
    <w:rsid w:val="00D5540A"/>
    <w:rsid w:val="00D630C3"/>
    <w:rsid w:val="00D71B57"/>
    <w:rsid w:val="00D71E0E"/>
    <w:rsid w:val="00D72239"/>
    <w:rsid w:val="00D73296"/>
    <w:rsid w:val="00D74575"/>
    <w:rsid w:val="00D75DEC"/>
    <w:rsid w:val="00D764DD"/>
    <w:rsid w:val="00D76BD4"/>
    <w:rsid w:val="00D80829"/>
    <w:rsid w:val="00D816B6"/>
    <w:rsid w:val="00D82574"/>
    <w:rsid w:val="00D82F34"/>
    <w:rsid w:val="00D96A92"/>
    <w:rsid w:val="00D97DFF"/>
    <w:rsid w:val="00D97F46"/>
    <w:rsid w:val="00DA0624"/>
    <w:rsid w:val="00DA0A8A"/>
    <w:rsid w:val="00DA402A"/>
    <w:rsid w:val="00DA7DB5"/>
    <w:rsid w:val="00DB7AD7"/>
    <w:rsid w:val="00DC1B9C"/>
    <w:rsid w:val="00DC1BFA"/>
    <w:rsid w:val="00DC3BA1"/>
    <w:rsid w:val="00DC4B22"/>
    <w:rsid w:val="00DC4B3E"/>
    <w:rsid w:val="00DC5998"/>
    <w:rsid w:val="00DD4CC6"/>
    <w:rsid w:val="00DE1BA8"/>
    <w:rsid w:val="00DE3933"/>
    <w:rsid w:val="00DE60D6"/>
    <w:rsid w:val="00DE6965"/>
    <w:rsid w:val="00DF2878"/>
    <w:rsid w:val="00E101C7"/>
    <w:rsid w:val="00E10407"/>
    <w:rsid w:val="00E10625"/>
    <w:rsid w:val="00E122D6"/>
    <w:rsid w:val="00E13306"/>
    <w:rsid w:val="00E20222"/>
    <w:rsid w:val="00E20F9F"/>
    <w:rsid w:val="00E23603"/>
    <w:rsid w:val="00E23FD4"/>
    <w:rsid w:val="00E244E3"/>
    <w:rsid w:val="00E32FAF"/>
    <w:rsid w:val="00E37C56"/>
    <w:rsid w:val="00E42FB9"/>
    <w:rsid w:val="00E503D3"/>
    <w:rsid w:val="00E52ADB"/>
    <w:rsid w:val="00E54178"/>
    <w:rsid w:val="00E645EF"/>
    <w:rsid w:val="00E67FE9"/>
    <w:rsid w:val="00E7059C"/>
    <w:rsid w:val="00E769CC"/>
    <w:rsid w:val="00E7700A"/>
    <w:rsid w:val="00E81CF5"/>
    <w:rsid w:val="00E87793"/>
    <w:rsid w:val="00E91EC9"/>
    <w:rsid w:val="00E92259"/>
    <w:rsid w:val="00E923BD"/>
    <w:rsid w:val="00E949FA"/>
    <w:rsid w:val="00E95E1A"/>
    <w:rsid w:val="00EA0139"/>
    <w:rsid w:val="00EA2EB7"/>
    <w:rsid w:val="00EA4294"/>
    <w:rsid w:val="00EA646E"/>
    <w:rsid w:val="00EA76A9"/>
    <w:rsid w:val="00EA79C6"/>
    <w:rsid w:val="00EB3762"/>
    <w:rsid w:val="00EB78FD"/>
    <w:rsid w:val="00EC17A6"/>
    <w:rsid w:val="00EC4A40"/>
    <w:rsid w:val="00EC61CF"/>
    <w:rsid w:val="00EC6547"/>
    <w:rsid w:val="00EC7638"/>
    <w:rsid w:val="00ED23E4"/>
    <w:rsid w:val="00ED2544"/>
    <w:rsid w:val="00ED2E85"/>
    <w:rsid w:val="00ED3032"/>
    <w:rsid w:val="00ED38E3"/>
    <w:rsid w:val="00ED5D55"/>
    <w:rsid w:val="00EE33DE"/>
    <w:rsid w:val="00EE47E8"/>
    <w:rsid w:val="00EE5181"/>
    <w:rsid w:val="00EF5391"/>
    <w:rsid w:val="00EF7928"/>
    <w:rsid w:val="00F01C0F"/>
    <w:rsid w:val="00F0278B"/>
    <w:rsid w:val="00F036D0"/>
    <w:rsid w:val="00F04FF2"/>
    <w:rsid w:val="00F12640"/>
    <w:rsid w:val="00F13DAB"/>
    <w:rsid w:val="00F15464"/>
    <w:rsid w:val="00F17200"/>
    <w:rsid w:val="00F1730C"/>
    <w:rsid w:val="00F278AB"/>
    <w:rsid w:val="00F3323C"/>
    <w:rsid w:val="00F41D9D"/>
    <w:rsid w:val="00F42903"/>
    <w:rsid w:val="00F4519B"/>
    <w:rsid w:val="00F54F6D"/>
    <w:rsid w:val="00F5719C"/>
    <w:rsid w:val="00F57C20"/>
    <w:rsid w:val="00F65747"/>
    <w:rsid w:val="00F66139"/>
    <w:rsid w:val="00F7195D"/>
    <w:rsid w:val="00F7327B"/>
    <w:rsid w:val="00F734D5"/>
    <w:rsid w:val="00F73802"/>
    <w:rsid w:val="00F73A79"/>
    <w:rsid w:val="00F76204"/>
    <w:rsid w:val="00F86E97"/>
    <w:rsid w:val="00F90775"/>
    <w:rsid w:val="00F90B8A"/>
    <w:rsid w:val="00F90FE7"/>
    <w:rsid w:val="00F924C7"/>
    <w:rsid w:val="00F97A24"/>
    <w:rsid w:val="00FA1330"/>
    <w:rsid w:val="00FA1FEA"/>
    <w:rsid w:val="00FA23B4"/>
    <w:rsid w:val="00FA2F64"/>
    <w:rsid w:val="00FB1910"/>
    <w:rsid w:val="00FB3835"/>
    <w:rsid w:val="00FB40B2"/>
    <w:rsid w:val="00FB51F8"/>
    <w:rsid w:val="00FB553A"/>
    <w:rsid w:val="00FB65D5"/>
    <w:rsid w:val="00FB791E"/>
    <w:rsid w:val="00FC1437"/>
    <w:rsid w:val="00FC7AA6"/>
    <w:rsid w:val="00FD0E82"/>
    <w:rsid w:val="00FD265D"/>
    <w:rsid w:val="00FD38B8"/>
    <w:rsid w:val="00FD5281"/>
    <w:rsid w:val="00FE528A"/>
    <w:rsid w:val="00FE7532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12E3B"/>
  <w15:chartTrackingRefBased/>
  <w15:docId w15:val="{8B1C61AD-B6A8-4326-9ED3-9DD89AC4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5998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8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B78F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D5B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95C-7094-423B-8799-C663B4B7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12</cp:revision>
  <cp:lastPrinted>2018-06-13T17:45:00Z</cp:lastPrinted>
  <dcterms:created xsi:type="dcterms:W3CDTF">2023-06-21T18:24:00Z</dcterms:created>
  <dcterms:modified xsi:type="dcterms:W3CDTF">2025-08-06T00:34:00Z</dcterms:modified>
</cp:coreProperties>
</file>